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DA11" w14:textId="7E87E521" w:rsidR="008846CE" w:rsidRPr="0011693E" w:rsidRDefault="00174690" w:rsidP="0011693E">
      <w:pPr>
        <w:pStyle w:val="BodyText"/>
        <w:jc w:val="center"/>
        <w:rPr>
          <w:b/>
        </w:rPr>
      </w:pPr>
      <w:bookmarkStart w:id="0" w:name="_Toc438542647"/>
      <w:r>
        <w:rPr>
          <w:b/>
        </w:rPr>
        <w:t xml:space="preserve">VENTURE CAPITAL FUND ESTABLISHMENT TERM SHEET </w:t>
      </w:r>
    </w:p>
    <w:p w14:paraId="170A4ECA" w14:textId="46E1DEA4" w:rsidR="0011693E" w:rsidRPr="00174690" w:rsidRDefault="007D1880" w:rsidP="0011693E">
      <w:pPr>
        <w:pStyle w:val="BodyText"/>
        <w:ind w:firstLine="709"/>
        <w:rPr>
          <w:sz w:val="22"/>
          <w:szCs w:val="22"/>
        </w:rPr>
      </w:pPr>
      <w:r>
        <w:rPr>
          <w:sz w:val="22"/>
          <w:szCs w:val="22"/>
        </w:rPr>
        <w:t xml:space="preserve">This </w:t>
      </w:r>
      <w:r w:rsidR="00327477">
        <w:rPr>
          <w:sz w:val="22"/>
          <w:szCs w:val="22"/>
        </w:rPr>
        <w:t>Term Sheet</w:t>
      </w:r>
      <w:r w:rsidR="00174690" w:rsidRPr="00174690">
        <w:rPr>
          <w:sz w:val="22"/>
          <w:szCs w:val="22"/>
        </w:rPr>
        <w:t xml:space="preserve"> is a summary of certain information about </w:t>
      </w:r>
      <w:r w:rsidR="009B73C3">
        <w:rPr>
          <w:sz w:val="22"/>
          <w:szCs w:val="22"/>
        </w:rPr>
        <w:t>[</w:t>
      </w:r>
      <w:r w:rsidR="009B73C3" w:rsidRPr="00FE5F04">
        <w:rPr>
          <w:sz w:val="22"/>
          <w:szCs w:val="22"/>
          <w:highlight w:val="yellow"/>
        </w:rPr>
        <w:t>F</w:t>
      </w:r>
      <w:r w:rsidR="005E400A">
        <w:rPr>
          <w:sz w:val="22"/>
          <w:szCs w:val="22"/>
          <w:highlight w:val="yellow"/>
        </w:rPr>
        <w:t>und</w:t>
      </w:r>
      <w:r w:rsidR="00C94CF6">
        <w:rPr>
          <w:sz w:val="22"/>
          <w:szCs w:val="22"/>
          <w:highlight w:val="yellow"/>
        </w:rPr>
        <w:t>’s</w:t>
      </w:r>
      <w:r w:rsidR="00FE5F04" w:rsidRPr="00FE5F04">
        <w:rPr>
          <w:sz w:val="22"/>
          <w:szCs w:val="22"/>
          <w:highlight w:val="yellow"/>
        </w:rPr>
        <w:t xml:space="preserve"> </w:t>
      </w:r>
      <w:r w:rsidR="00FE5F04" w:rsidRPr="005E400A">
        <w:rPr>
          <w:sz w:val="22"/>
          <w:szCs w:val="22"/>
          <w:highlight w:val="yellow"/>
        </w:rPr>
        <w:t>N</w:t>
      </w:r>
      <w:r w:rsidR="005E400A" w:rsidRPr="005E400A">
        <w:rPr>
          <w:sz w:val="22"/>
          <w:szCs w:val="22"/>
          <w:highlight w:val="yellow"/>
        </w:rPr>
        <w:t>ame</w:t>
      </w:r>
      <w:r w:rsidR="009B73C3">
        <w:rPr>
          <w:sz w:val="22"/>
          <w:szCs w:val="22"/>
        </w:rPr>
        <w:t xml:space="preserve">] </w:t>
      </w:r>
      <w:r w:rsidR="00174690" w:rsidRPr="00174690">
        <w:rPr>
          <w:sz w:val="22"/>
          <w:szCs w:val="22"/>
        </w:rPr>
        <w:t>(the “</w:t>
      </w:r>
      <w:r w:rsidR="00174690" w:rsidRPr="000C7DA6">
        <w:rPr>
          <w:b/>
          <w:bCs/>
          <w:sz w:val="22"/>
          <w:szCs w:val="22"/>
        </w:rPr>
        <w:t>Fund</w:t>
      </w:r>
      <w:r w:rsidR="00174690" w:rsidRPr="00174690">
        <w:rPr>
          <w:sz w:val="22"/>
          <w:szCs w:val="22"/>
        </w:rPr>
        <w:t>”) and an investment in limited partnership interests therein (the “</w:t>
      </w:r>
      <w:r w:rsidR="00174690" w:rsidRPr="000C7DA6">
        <w:rPr>
          <w:b/>
          <w:bCs/>
          <w:sz w:val="22"/>
          <w:szCs w:val="22"/>
        </w:rPr>
        <w:t>Interests</w:t>
      </w:r>
      <w:r w:rsidR="00174690" w:rsidRPr="00174690">
        <w:rPr>
          <w:sz w:val="22"/>
          <w:szCs w:val="22"/>
        </w:rPr>
        <w:t>”). This summary is qualified in its entirety by reference to the amended and restated limited partnership agreement of the Fund (the “</w:t>
      </w:r>
      <w:r w:rsidR="00174690" w:rsidRPr="002F3FB8">
        <w:rPr>
          <w:b/>
          <w:bCs/>
          <w:sz w:val="22"/>
          <w:szCs w:val="22"/>
        </w:rPr>
        <w:t>Partnership Agreement</w:t>
      </w:r>
      <w:r w:rsidR="00174690" w:rsidRPr="00174690">
        <w:rPr>
          <w:sz w:val="22"/>
          <w:szCs w:val="22"/>
        </w:rPr>
        <w:t>”) and the Subscription Agreement of the Fund (the “</w:t>
      </w:r>
      <w:r w:rsidR="00174690" w:rsidRPr="002F3FB8">
        <w:rPr>
          <w:b/>
          <w:bCs/>
          <w:sz w:val="22"/>
          <w:szCs w:val="22"/>
        </w:rPr>
        <w:t>Subscription Agreement</w:t>
      </w:r>
      <w:r w:rsidR="00174690" w:rsidRPr="00174690">
        <w:rPr>
          <w:sz w:val="22"/>
          <w:szCs w:val="22"/>
        </w:rPr>
        <w:t>”). To the extent that any terms set forth below are inconsistent with those of the Partnership Agreement and/or the Subscription Agreement, the Partnership Agreement and/or the Subscription Agreement, as applicable, will control.</w:t>
      </w:r>
    </w:p>
    <w:tbl>
      <w:tblPr>
        <w:tblStyle w:val="TableGrid"/>
        <w:tblW w:w="9137" w:type="dxa"/>
        <w:tblLayout w:type="fixed"/>
        <w:tblCellMar>
          <w:left w:w="113" w:type="dxa"/>
        </w:tblCellMar>
        <w:tblLook w:val="04A0" w:firstRow="1" w:lastRow="0" w:firstColumn="1" w:lastColumn="0" w:noHBand="0" w:noVBand="1"/>
      </w:tblPr>
      <w:tblGrid>
        <w:gridCol w:w="2523"/>
        <w:gridCol w:w="6614"/>
      </w:tblGrid>
      <w:tr w:rsidR="00AA6338" w:rsidRPr="00A77E09" w14:paraId="3B09366A" w14:textId="77777777" w:rsidTr="00FC026A">
        <w:tc>
          <w:tcPr>
            <w:tcW w:w="2523" w:type="dxa"/>
          </w:tcPr>
          <w:p w14:paraId="7133D567" w14:textId="35A7F531" w:rsidR="00AA6338" w:rsidRPr="00E130BD" w:rsidRDefault="00A77E09" w:rsidP="00D63DE8">
            <w:pPr>
              <w:pStyle w:val="BodyText"/>
              <w:numPr>
                <w:ilvl w:val="0"/>
                <w:numId w:val="26"/>
              </w:numPr>
              <w:spacing w:before="120" w:after="120"/>
              <w:ind w:left="426" w:hanging="426"/>
              <w:jc w:val="left"/>
              <w:rPr>
                <w:b/>
                <w:sz w:val="22"/>
                <w:szCs w:val="22"/>
                <w:lang w:val="en-GB"/>
              </w:rPr>
            </w:pPr>
            <w:r>
              <w:rPr>
                <w:b/>
                <w:sz w:val="22"/>
                <w:szCs w:val="22"/>
              </w:rPr>
              <w:t>The Fund</w:t>
            </w:r>
          </w:p>
        </w:tc>
        <w:tc>
          <w:tcPr>
            <w:tcW w:w="6614" w:type="dxa"/>
          </w:tcPr>
          <w:p w14:paraId="6C8EBD83" w14:textId="5541658F" w:rsidR="00500AF0" w:rsidRPr="00B07FA1" w:rsidRDefault="00655905" w:rsidP="00256B99">
            <w:pPr>
              <w:pStyle w:val="BodyText"/>
              <w:spacing w:before="120" w:after="120"/>
              <w:rPr>
                <w:bCs/>
                <w:sz w:val="22"/>
                <w:szCs w:val="22"/>
              </w:rPr>
            </w:pPr>
            <w:r>
              <w:rPr>
                <w:bCs/>
                <w:sz w:val="22"/>
                <w:szCs w:val="22"/>
              </w:rPr>
              <w:t>[</w:t>
            </w:r>
            <w:r w:rsidR="005E400A" w:rsidRPr="005E400A">
              <w:rPr>
                <w:bCs/>
                <w:sz w:val="22"/>
                <w:szCs w:val="22"/>
                <w:highlight w:val="yellow"/>
              </w:rPr>
              <w:t>Fund</w:t>
            </w:r>
            <w:r w:rsidR="00C94CF6">
              <w:rPr>
                <w:bCs/>
                <w:sz w:val="22"/>
                <w:szCs w:val="22"/>
                <w:highlight w:val="yellow"/>
              </w:rPr>
              <w:t>’s</w:t>
            </w:r>
            <w:r w:rsidR="005E400A" w:rsidRPr="005E400A">
              <w:rPr>
                <w:bCs/>
                <w:sz w:val="22"/>
                <w:szCs w:val="22"/>
                <w:highlight w:val="yellow"/>
              </w:rPr>
              <w:t xml:space="preserve"> Name</w:t>
            </w:r>
            <w:r>
              <w:rPr>
                <w:bCs/>
                <w:sz w:val="22"/>
                <w:szCs w:val="22"/>
              </w:rPr>
              <w:t xml:space="preserve">] </w:t>
            </w:r>
            <w:r w:rsidR="00A77E09" w:rsidRPr="00A77E09">
              <w:rPr>
                <w:bCs/>
                <w:sz w:val="22"/>
                <w:szCs w:val="22"/>
              </w:rPr>
              <w:t xml:space="preserve">is a </w:t>
            </w:r>
            <w:r>
              <w:rPr>
                <w:bCs/>
                <w:sz w:val="22"/>
                <w:szCs w:val="22"/>
              </w:rPr>
              <w:t>[</w:t>
            </w:r>
            <w:r w:rsidR="005E400A" w:rsidRPr="005E400A">
              <w:rPr>
                <w:bCs/>
                <w:sz w:val="22"/>
                <w:szCs w:val="22"/>
                <w:highlight w:val="yellow"/>
              </w:rPr>
              <w:t>State of Incorporation</w:t>
            </w:r>
            <w:r>
              <w:rPr>
                <w:bCs/>
                <w:sz w:val="22"/>
                <w:szCs w:val="22"/>
              </w:rPr>
              <w:t>]</w:t>
            </w:r>
            <w:r w:rsidR="00A77E09" w:rsidRPr="00A77E09">
              <w:rPr>
                <w:bCs/>
                <w:sz w:val="22"/>
                <w:szCs w:val="22"/>
              </w:rPr>
              <w:t xml:space="preserve"> limited partnership </w:t>
            </w:r>
            <w:r w:rsidR="00B07FA1">
              <w:rPr>
                <w:bCs/>
                <w:sz w:val="22"/>
                <w:szCs w:val="22"/>
              </w:rPr>
              <w:t>(the “</w:t>
            </w:r>
            <w:r w:rsidR="00B07FA1">
              <w:rPr>
                <w:b/>
                <w:sz w:val="22"/>
                <w:szCs w:val="22"/>
              </w:rPr>
              <w:t>Fund</w:t>
            </w:r>
            <w:r w:rsidR="00B07FA1">
              <w:rPr>
                <w:bCs/>
                <w:sz w:val="22"/>
                <w:szCs w:val="22"/>
              </w:rPr>
              <w:t>”)</w:t>
            </w:r>
          </w:p>
        </w:tc>
      </w:tr>
      <w:tr w:rsidR="00010AF6" w:rsidRPr="00A77E09" w14:paraId="1BA03A98" w14:textId="77777777" w:rsidTr="00FC026A">
        <w:tc>
          <w:tcPr>
            <w:tcW w:w="2523" w:type="dxa"/>
          </w:tcPr>
          <w:p w14:paraId="2DEEBEE7" w14:textId="522AFD09" w:rsidR="00010AF6" w:rsidRPr="00E130BD" w:rsidRDefault="00A77E09" w:rsidP="00D63DE8">
            <w:pPr>
              <w:pStyle w:val="BodyText"/>
              <w:numPr>
                <w:ilvl w:val="0"/>
                <w:numId w:val="26"/>
              </w:numPr>
              <w:spacing w:before="120" w:after="120"/>
              <w:ind w:left="426" w:hanging="426"/>
              <w:jc w:val="left"/>
              <w:rPr>
                <w:b/>
                <w:sz w:val="22"/>
                <w:szCs w:val="22"/>
                <w:lang w:val="ru-RU"/>
              </w:rPr>
            </w:pPr>
            <w:r>
              <w:rPr>
                <w:b/>
                <w:sz w:val="22"/>
                <w:szCs w:val="22"/>
              </w:rPr>
              <w:t>The General Partner</w:t>
            </w:r>
          </w:p>
        </w:tc>
        <w:tc>
          <w:tcPr>
            <w:tcW w:w="6614" w:type="dxa"/>
          </w:tcPr>
          <w:p w14:paraId="3B1E7CA3" w14:textId="08C4273B" w:rsidR="00366414" w:rsidRPr="00AB1AC0" w:rsidRDefault="00F74FF8" w:rsidP="00366414">
            <w:pPr>
              <w:pStyle w:val="BodyText"/>
              <w:spacing w:before="120" w:after="120"/>
              <w:rPr>
                <w:sz w:val="22"/>
                <w:szCs w:val="22"/>
              </w:rPr>
            </w:pPr>
            <w:r>
              <w:rPr>
                <w:sz w:val="22"/>
                <w:szCs w:val="22"/>
              </w:rPr>
              <w:t>[</w:t>
            </w:r>
            <w:r w:rsidR="005E400A" w:rsidRPr="005E400A">
              <w:rPr>
                <w:sz w:val="22"/>
                <w:szCs w:val="22"/>
                <w:highlight w:val="yellow"/>
              </w:rPr>
              <w:t>General Partner</w:t>
            </w:r>
            <w:r w:rsidR="00C94CF6">
              <w:rPr>
                <w:sz w:val="22"/>
                <w:szCs w:val="22"/>
                <w:highlight w:val="yellow"/>
              </w:rPr>
              <w:t>’s</w:t>
            </w:r>
            <w:r w:rsidR="005E400A" w:rsidRPr="005E400A">
              <w:rPr>
                <w:sz w:val="22"/>
                <w:szCs w:val="22"/>
                <w:highlight w:val="yellow"/>
              </w:rPr>
              <w:t xml:space="preserve"> Name</w:t>
            </w:r>
            <w:r>
              <w:rPr>
                <w:sz w:val="22"/>
                <w:szCs w:val="22"/>
              </w:rPr>
              <w:t>]</w:t>
            </w:r>
            <w:r w:rsidR="00A77E09" w:rsidRPr="00A77E09">
              <w:rPr>
                <w:sz w:val="22"/>
                <w:szCs w:val="22"/>
              </w:rPr>
              <w:t xml:space="preserve">, a </w:t>
            </w:r>
            <w:r w:rsidR="009D6CB3">
              <w:rPr>
                <w:sz w:val="22"/>
                <w:szCs w:val="22"/>
              </w:rPr>
              <w:t>[</w:t>
            </w:r>
            <w:r w:rsidR="005E400A" w:rsidRPr="005E400A">
              <w:rPr>
                <w:sz w:val="22"/>
                <w:szCs w:val="22"/>
                <w:highlight w:val="yellow"/>
              </w:rPr>
              <w:t>State of Incorporation</w:t>
            </w:r>
            <w:r w:rsidR="009D6CB3">
              <w:rPr>
                <w:sz w:val="22"/>
                <w:szCs w:val="22"/>
              </w:rPr>
              <w:t>]</w:t>
            </w:r>
            <w:r w:rsidR="00A77E09" w:rsidRPr="00A77E09">
              <w:rPr>
                <w:sz w:val="22"/>
                <w:szCs w:val="22"/>
              </w:rPr>
              <w:t xml:space="preserve"> limited liability company, is the general partner of the Fund</w:t>
            </w:r>
            <w:r w:rsidR="00B07FA1">
              <w:rPr>
                <w:sz w:val="22"/>
                <w:szCs w:val="22"/>
              </w:rPr>
              <w:t xml:space="preserve"> (“</w:t>
            </w:r>
            <w:r w:rsidR="00AB1AC0">
              <w:rPr>
                <w:b/>
                <w:bCs/>
                <w:sz w:val="22"/>
                <w:szCs w:val="22"/>
              </w:rPr>
              <w:t>General Partner</w:t>
            </w:r>
            <w:r w:rsidR="00AB1AC0">
              <w:rPr>
                <w:sz w:val="22"/>
                <w:szCs w:val="22"/>
              </w:rPr>
              <w:t>”)</w:t>
            </w:r>
          </w:p>
        </w:tc>
      </w:tr>
      <w:tr w:rsidR="009721F6" w:rsidRPr="00A77E09" w14:paraId="24C274A9" w14:textId="77777777" w:rsidTr="00FC026A">
        <w:tc>
          <w:tcPr>
            <w:tcW w:w="2523" w:type="dxa"/>
          </w:tcPr>
          <w:p w14:paraId="0D0A40A8" w14:textId="4A46A768" w:rsidR="009721F6" w:rsidRPr="00E130BD" w:rsidRDefault="00A77E09" w:rsidP="00D63DE8">
            <w:pPr>
              <w:pStyle w:val="BodyText"/>
              <w:numPr>
                <w:ilvl w:val="0"/>
                <w:numId w:val="26"/>
              </w:numPr>
              <w:spacing w:before="120" w:after="120"/>
              <w:ind w:left="426" w:hanging="426"/>
              <w:jc w:val="left"/>
              <w:rPr>
                <w:b/>
                <w:sz w:val="22"/>
                <w:szCs w:val="22"/>
                <w:lang w:val="ru-RU"/>
              </w:rPr>
            </w:pPr>
            <w:r>
              <w:rPr>
                <w:b/>
                <w:sz w:val="22"/>
                <w:szCs w:val="22"/>
              </w:rPr>
              <w:t>The Management Company</w:t>
            </w:r>
          </w:p>
        </w:tc>
        <w:tc>
          <w:tcPr>
            <w:tcW w:w="6614" w:type="dxa"/>
          </w:tcPr>
          <w:p w14:paraId="5D5F1C03" w14:textId="47416441" w:rsidR="007D6A57" w:rsidRPr="00A77E09" w:rsidRDefault="00A77E09" w:rsidP="00256B99">
            <w:pPr>
              <w:pStyle w:val="BodyText"/>
              <w:spacing w:before="120" w:after="120"/>
              <w:rPr>
                <w:sz w:val="22"/>
                <w:szCs w:val="22"/>
              </w:rPr>
            </w:pPr>
            <w:r w:rsidRPr="00A77E09">
              <w:rPr>
                <w:sz w:val="22"/>
                <w:szCs w:val="22"/>
              </w:rPr>
              <w:t xml:space="preserve">The Fund will engage </w:t>
            </w:r>
            <w:r w:rsidR="003D197F">
              <w:rPr>
                <w:sz w:val="22"/>
                <w:szCs w:val="22"/>
              </w:rPr>
              <w:t>[</w:t>
            </w:r>
            <w:r w:rsidR="005E400A" w:rsidRPr="005E400A">
              <w:rPr>
                <w:sz w:val="22"/>
                <w:szCs w:val="22"/>
                <w:highlight w:val="yellow"/>
              </w:rPr>
              <w:t>Management Company Name</w:t>
            </w:r>
            <w:r w:rsidR="003D197F">
              <w:rPr>
                <w:sz w:val="22"/>
                <w:szCs w:val="22"/>
              </w:rPr>
              <w:t>]</w:t>
            </w:r>
            <w:r w:rsidRPr="00A77E09">
              <w:rPr>
                <w:sz w:val="22"/>
                <w:szCs w:val="22"/>
              </w:rPr>
              <w:t xml:space="preserve">, a </w:t>
            </w:r>
            <w:r w:rsidR="003D197F">
              <w:rPr>
                <w:sz w:val="22"/>
                <w:szCs w:val="22"/>
              </w:rPr>
              <w:t>[</w:t>
            </w:r>
            <w:r w:rsidR="005E400A" w:rsidRPr="005E400A">
              <w:rPr>
                <w:sz w:val="22"/>
                <w:szCs w:val="22"/>
                <w:highlight w:val="yellow"/>
              </w:rPr>
              <w:t>State of Incorporation</w:t>
            </w:r>
            <w:r w:rsidR="003D197F">
              <w:rPr>
                <w:sz w:val="22"/>
                <w:szCs w:val="22"/>
              </w:rPr>
              <w:t>]</w:t>
            </w:r>
            <w:r w:rsidRPr="00A77E09">
              <w:rPr>
                <w:sz w:val="22"/>
                <w:szCs w:val="22"/>
              </w:rPr>
              <w:t xml:space="preserve"> limited liability company, to act as the Fund’s management company (“</w:t>
            </w:r>
            <w:r w:rsidRPr="00AB1AC0">
              <w:rPr>
                <w:b/>
                <w:bCs/>
                <w:sz w:val="22"/>
                <w:szCs w:val="22"/>
              </w:rPr>
              <w:t>Management Company</w:t>
            </w:r>
            <w:r w:rsidRPr="00A77E09">
              <w:rPr>
                <w:sz w:val="22"/>
                <w:szCs w:val="22"/>
              </w:rPr>
              <w:t xml:space="preserve">”). The individuals primarily responsible for the Fund’s investments are </w:t>
            </w:r>
            <w:r w:rsidR="00AB1AC0">
              <w:rPr>
                <w:sz w:val="22"/>
                <w:szCs w:val="22"/>
              </w:rPr>
              <w:t>[</w:t>
            </w:r>
            <w:r w:rsidR="005E400A" w:rsidRPr="00801C12">
              <w:rPr>
                <w:sz w:val="22"/>
                <w:szCs w:val="22"/>
                <w:highlight w:val="yellow"/>
              </w:rPr>
              <w:t>Name</w:t>
            </w:r>
            <w:r w:rsidR="00AB1AC0">
              <w:rPr>
                <w:sz w:val="22"/>
                <w:szCs w:val="22"/>
              </w:rPr>
              <w:t xml:space="preserve">] </w:t>
            </w:r>
            <w:r w:rsidRPr="00A77E09">
              <w:rPr>
                <w:sz w:val="22"/>
                <w:szCs w:val="22"/>
              </w:rPr>
              <w:t xml:space="preserve">and </w:t>
            </w:r>
            <w:r w:rsidR="00F9539F">
              <w:rPr>
                <w:sz w:val="22"/>
                <w:szCs w:val="22"/>
              </w:rPr>
              <w:t>[</w:t>
            </w:r>
            <w:r w:rsidR="00801C12" w:rsidRPr="00801C12">
              <w:rPr>
                <w:sz w:val="22"/>
                <w:szCs w:val="22"/>
                <w:highlight w:val="yellow"/>
              </w:rPr>
              <w:t>Name</w:t>
            </w:r>
            <w:r w:rsidR="00F9539F">
              <w:rPr>
                <w:sz w:val="22"/>
                <w:szCs w:val="22"/>
              </w:rPr>
              <w:t xml:space="preserve">] </w:t>
            </w:r>
            <w:r w:rsidRPr="00A77E09">
              <w:rPr>
                <w:sz w:val="22"/>
                <w:szCs w:val="22"/>
              </w:rPr>
              <w:t>(the “</w:t>
            </w:r>
            <w:r w:rsidRPr="00F9539F">
              <w:rPr>
                <w:b/>
                <w:bCs/>
                <w:sz w:val="22"/>
                <w:szCs w:val="22"/>
              </w:rPr>
              <w:t>Principals</w:t>
            </w:r>
            <w:r w:rsidRPr="00A77E09">
              <w:rPr>
                <w:sz w:val="22"/>
                <w:szCs w:val="22"/>
              </w:rPr>
              <w:t>”).</w:t>
            </w:r>
            <w:r w:rsidR="008475C8">
              <w:rPr>
                <w:sz w:val="22"/>
                <w:szCs w:val="22"/>
              </w:rPr>
              <w:t xml:space="preserve"> </w:t>
            </w:r>
            <w:r w:rsidRPr="00A77E09">
              <w:rPr>
                <w:sz w:val="22"/>
                <w:szCs w:val="22"/>
              </w:rPr>
              <w:t>The Management Company is not registered, or required to be registered, with the Securities and Exchange Commission (the “</w:t>
            </w:r>
            <w:r w:rsidRPr="004119A0">
              <w:rPr>
                <w:b/>
                <w:bCs/>
                <w:sz w:val="22"/>
                <w:szCs w:val="22"/>
              </w:rPr>
              <w:t>SEC</w:t>
            </w:r>
            <w:r w:rsidRPr="00A77E09">
              <w:rPr>
                <w:sz w:val="22"/>
                <w:szCs w:val="22"/>
              </w:rPr>
              <w:t>”) as an investment adviser. Instead</w:t>
            </w:r>
            <w:r w:rsidR="004119A0">
              <w:rPr>
                <w:sz w:val="22"/>
                <w:szCs w:val="22"/>
              </w:rPr>
              <w:t>,</w:t>
            </w:r>
            <w:r w:rsidRPr="00A77E09">
              <w:rPr>
                <w:sz w:val="22"/>
                <w:szCs w:val="22"/>
              </w:rPr>
              <w:t xml:space="preserve"> the Management Company is an exempt reporting adviser with the SEC.</w:t>
            </w:r>
            <w:r w:rsidR="008475C8">
              <w:rPr>
                <w:sz w:val="22"/>
                <w:szCs w:val="22"/>
              </w:rPr>
              <w:t xml:space="preserve"> </w:t>
            </w:r>
          </w:p>
        </w:tc>
      </w:tr>
      <w:tr w:rsidR="003B566A" w:rsidRPr="00A77E09" w14:paraId="4B2E44F9" w14:textId="77777777" w:rsidTr="00FC026A">
        <w:tc>
          <w:tcPr>
            <w:tcW w:w="2523" w:type="dxa"/>
          </w:tcPr>
          <w:p w14:paraId="15442C32" w14:textId="7BE74FBB" w:rsidR="003B566A" w:rsidRPr="00E130BD" w:rsidRDefault="00A77E09" w:rsidP="00D63DE8">
            <w:pPr>
              <w:pStyle w:val="BodyText"/>
              <w:numPr>
                <w:ilvl w:val="0"/>
                <w:numId w:val="26"/>
              </w:numPr>
              <w:spacing w:before="120" w:after="120"/>
              <w:ind w:left="426" w:hanging="426"/>
              <w:jc w:val="left"/>
              <w:rPr>
                <w:b/>
                <w:sz w:val="22"/>
                <w:szCs w:val="22"/>
                <w:lang w:val="ru-RU"/>
              </w:rPr>
            </w:pPr>
            <w:r>
              <w:rPr>
                <w:b/>
                <w:sz w:val="22"/>
                <w:szCs w:val="22"/>
              </w:rPr>
              <w:t>Investment Objective and Strategy</w:t>
            </w:r>
          </w:p>
        </w:tc>
        <w:tc>
          <w:tcPr>
            <w:tcW w:w="6614" w:type="dxa"/>
          </w:tcPr>
          <w:p w14:paraId="736029BE" w14:textId="187FF1A9" w:rsidR="003B566A" w:rsidRPr="00A77E09" w:rsidRDefault="00A77E09" w:rsidP="003B566A">
            <w:pPr>
              <w:pStyle w:val="BodyText"/>
              <w:spacing w:before="120" w:after="120"/>
              <w:rPr>
                <w:sz w:val="22"/>
                <w:szCs w:val="22"/>
              </w:rPr>
            </w:pPr>
            <w:r w:rsidRPr="00A77E09">
              <w:rPr>
                <w:sz w:val="22"/>
                <w:szCs w:val="22"/>
              </w:rPr>
              <w:t>The Fund’s investment objective is to generate attractive returns through early-stage venture capital investments in technology companies (each, a “</w:t>
            </w:r>
            <w:r w:rsidRPr="00D025CB">
              <w:rPr>
                <w:b/>
                <w:bCs/>
                <w:sz w:val="22"/>
                <w:szCs w:val="22"/>
              </w:rPr>
              <w:t>Portfolio Company</w:t>
            </w:r>
            <w:r w:rsidRPr="00A77E09">
              <w:rPr>
                <w:sz w:val="22"/>
                <w:szCs w:val="22"/>
              </w:rPr>
              <w:t xml:space="preserve">”), with a focus on following areas: </w:t>
            </w:r>
            <w:r w:rsidR="003333F4">
              <w:rPr>
                <w:sz w:val="22"/>
                <w:szCs w:val="22"/>
              </w:rPr>
              <w:t>[</w:t>
            </w:r>
            <w:r w:rsidRPr="003333F4">
              <w:rPr>
                <w:sz w:val="22"/>
                <w:szCs w:val="22"/>
                <w:highlight w:val="yellow"/>
              </w:rPr>
              <w:t>future of job (h</w:t>
            </w:r>
            <w:r w:rsidR="00D025CB" w:rsidRPr="003333F4">
              <w:rPr>
                <w:sz w:val="22"/>
                <w:szCs w:val="22"/>
                <w:highlight w:val="yellow"/>
              </w:rPr>
              <w:t>i</w:t>
            </w:r>
            <w:r w:rsidRPr="003333F4">
              <w:rPr>
                <w:sz w:val="22"/>
                <w:szCs w:val="22"/>
                <w:highlight w:val="yellow"/>
              </w:rPr>
              <w:t>-tech, productivity tech, etc.), future of move (mobility, logistics, smart cities, last-mile delivery, etc.), new experiences (home fitness, mental health, ed-tech, AR tech, etc.)</w:t>
            </w:r>
            <w:r w:rsidR="003333F4">
              <w:rPr>
                <w:sz w:val="22"/>
                <w:szCs w:val="22"/>
              </w:rPr>
              <w:t>]</w:t>
            </w:r>
            <w:r w:rsidRPr="00A77E09">
              <w:rPr>
                <w:sz w:val="22"/>
                <w:szCs w:val="22"/>
              </w:rPr>
              <w:t>.</w:t>
            </w:r>
          </w:p>
        </w:tc>
      </w:tr>
      <w:tr w:rsidR="001D75EC" w:rsidRPr="00A77E09" w14:paraId="60E73518" w14:textId="77777777" w:rsidTr="00FC026A">
        <w:tc>
          <w:tcPr>
            <w:tcW w:w="2523" w:type="dxa"/>
          </w:tcPr>
          <w:p w14:paraId="21144E54" w14:textId="69FA8190" w:rsidR="001D75EC" w:rsidRDefault="00A77E09" w:rsidP="00D63DE8">
            <w:pPr>
              <w:pStyle w:val="BodyText"/>
              <w:numPr>
                <w:ilvl w:val="0"/>
                <w:numId w:val="26"/>
              </w:numPr>
              <w:spacing w:before="120" w:after="120"/>
              <w:ind w:left="426" w:hanging="426"/>
              <w:jc w:val="left"/>
              <w:rPr>
                <w:b/>
                <w:sz w:val="22"/>
                <w:szCs w:val="22"/>
                <w:lang w:val="ru-RU"/>
              </w:rPr>
            </w:pPr>
            <w:r>
              <w:rPr>
                <w:b/>
                <w:sz w:val="22"/>
                <w:szCs w:val="22"/>
              </w:rPr>
              <w:t>Portfolio Investments</w:t>
            </w:r>
          </w:p>
        </w:tc>
        <w:tc>
          <w:tcPr>
            <w:tcW w:w="6614" w:type="dxa"/>
          </w:tcPr>
          <w:p w14:paraId="7D17BC5C" w14:textId="37534CC6" w:rsidR="001D75EC" w:rsidRDefault="00A77E09" w:rsidP="003B566A">
            <w:pPr>
              <w:pStyle w:val="BodyText"/>
              <w:spacing w:before="120" w:after="120"/>
              <w:rPr>
                <w:sz w:val="22"/>
                <w:szCs w:val="22"/>
              </w:rPr>
            </w:pPr>
            <w:r w:rsidRPr="00A77E09">
              <w:rPr>
                <w:sz w:val="22"/>
                <w:szCs w:val="22"/>
              </w:rPr>
              <w:t>The Fund may make multiple investments in a single Portfolio Company (e.g., convertible note, SAFE, Series A Preferred Stock, etc.) (each such investment, a “</w:t>
            </w:r>
            <w:r w:rsidRPr="00A8714C">
              <w:rPr>
                <w:b/>
                <w:bCs/>
                <w:sz w:val="22"/>
                <w:szCs w:val="22"/>
              </w:rPr>
              <w:t>Portfolio Investment</w:t>
            </w:r>
            <w:r w:rsidRPr="00A77E09">
              <w:rPr>
                <w:sz w:val="22"/>
                <w:szCs w:val="22"/>
              </w:rPr>
              <w:t>”).</w:t>
            </w:r>
            <w:r w:rsidR="008475C8">
              <w:rPr>
                <w:sz w:val="22"/>
                <w:szCs w:val="22"/>
              </w:rPr>
              <w:t xml:space="preserve"> </w:t>
            </w:r>
            <w:r w:rsidRPr="00A77E09">
              <w:rPr>
                <w:sz w:val="22"/>
                <w:szCs w:val="22"/>
              </w:rPr>
              <w:t>Each investment in a Portfolio Company will be considered a separate Portfolio Investment.</w:t>
            </w:r>
            <w:r w:rsidR="008475C8">
              <w:rPr>
                <w:sz w:val="22"/>
                <w:szCs w:val="22"/>
              </w:rPr>
              <w:t xml:space="preserve"> </w:t>
            </w:r>
            <w:r w:rsidRPr="00A77E09">
              <w:rPr>
                <w:sz w:val="22"/>
                <w:szCs w:val="22"/>
              </w:rPr>
              <w:t>Accordingly, whenever an additional investment is made in a Portfolio Company, such additional investment shall be treated as a separate Portfolio Investment from the Portfolio Investment(s) previously made in such Portfolio Company.</w:t>
            </w:r>
            <w:r w:rsidR="008475C8">
              <w:rPr>
                <w:sz w:val="22"/>
                <w:szCs w:val="22"/>
              </w:rPr>
              <w:t xml:space="preserve"> </w:t>
            </w:r>
          </w:p>
          <w:p w14:paraId="230DBBB8" w14:textId="2203EC64" w:rsidR="00A77E09" w:rsidRPr="00A77E09" w:rsidRDefault="00A77E09" w:rsidP="003B566A">
            <w:pPr>
              <w:pStyle w:val="BodyText"/>
              <w:spacing w:before="120" w:after="120"/>
              <w:rPr>
                <w:sz w:val="22"/>
                <w:szCs w:val="22"/>
              </w:rPr>
            </w:pPr>
            <w:r w:rsidRPr="00A77E09">
              <w:rPr>
                <w:sz w:val="22"/>
                <w:szCs w:val="22"/>
              </w:rPr>
              <w:t>The Capital Contributions for, and Distributable Proceeds and Carried Interest proceeds subsequently received (as such terms are defined below), in respect of such additional Portfolio Investment(s) shall be allocated specifically to the applicable additional Portfolio Investment(s).</w:t>
            </w:r>
          </w:p>
        </w:tc>
      </w:tr>
      <w:tr w:rsidR="00924141" w:rsidRPr="00A77E09" w14:paraId="525851DE" w14:textId="77777777" w:rsidTr="00FC026A">
        <w:tc>
          <w:tcPr>
            <w:tcW w:w="2523" w:type="dxa"/>
          </w:tcPr>
          <w:p w14:paraId="69742430" w14:textId="39BAE867" w:rsidR="00924141" w:rsidRDefault="00A77E09" w:rsidP="00D63DE8">
            <w:pPr>
              <w:pStyle w:val="BodyText"/>
              <w:numPr>
                <w:ilvl w:val="0"/>
                <w:numId w:val="26"/>
              </w:numPr>
              <w:spacing w:before="120" w:after="120"/>
              <w:ind w:left="426" w:hanging="426"/>
              <w:jc w:val="left"/>
              <w:rPr>
                <w:b/>
                <w:sz w:val="22"/>
                <w:szCs w:val="22"/>
                <w:lang w:val="ru-RU"/>
              </w:rPr>
            </w:pPr>
            <w:r>
              <w:rPr>
                <w:b/>
                <w:sz w:val="22"/>
                <w:szCs w:val="22"/>
              </w:rPr>
              <w:t xml:space="preserve">Targeted Capital Commitments </w:t>
            </w:r>
          </w:p>
        </w:tc>
        <w:tc>
          <w:tcPr>
            <w:tcW w:w="6614" w:type="dxa"/>
          </w:tcPr>
          <w:p w14:paraId="279D231A" w14:textId="3CB93501" w:rsidR="0013201A" w:rsidRPr="00A77E09" w:rsidRDefault="00A77E09" w:rsidP="003B566A">
            <w:pPr>
              <w:pStyle w:val="BodyText"/>
              <w:spacing w:before="120" w:after="120"/>
              <w:rPr>
                <w:sz w:val="22"/>
                <w:szCs w:val="22"/>
              </w:rPr>
            </w:pPr>
            <w:r w:rsidRPr="00A77E09">
              <w:rPr>
                <w:sz w:val="22"/>
                <w:szCs w:val="22"/>
              </w:rPr>
              <w:t>The Fund is targeting capital commitments (“</w:t>
            </w:r>
            <w:r w:rsidRPr="00CF5C60">
              <w:rPr>
                <w:b/>
                <w:bCs/>
                <w:sz w:val="22"/>
                <w:szCs w:val="22"/>
              </w:rPr>
              <w:t>Capital Commitments</w:t>
            </w:r>
            <w:r w:rsidRPr="00A77E09">
              <w:rPr>
                <w:sz w:val="22"/>
                <w:szCs w:val="22"/>
              </w:rPr>
              <w:t>”) of up to $</w:t>
            </w:r>
            <w:r w:rsidR="00FD1137">
              <w:rPr>
                <w:sz w:val="22"/>
                <w:szCs w:val="22"/>
              </w:rPr>
              <w:t>[</w:t>
            </w:r>
            <w:r w:rsidR="003333F4" w:rsidRPr="003333F4">
              <w:rPr>
                <w:sz w:val="22"/>
                <w:szCs w:val="22"/>
                <w:highlight w:val="yellow"/>
              </w:rPr>
              <w:t>XXX</w:t>
            </w:r>
            <w:r w:rsidR="00FD1137">
              <w:rPr>
                <w:sz w:val="22"/>
                <w:szCs w:val="22"/>
              </w:rPr>
              <w:t>]</w:t>
            </w:r>
            <w:r w:rsidRPr="00A77E09">
              <w:rPr>
                <w:sz w:val="22"/>
                <w:szCs w:val="22"/>
              </w:rPr>
              <w:t xml:space="preserve"> (the “</w:t>
            </w:r>
            <w:r w:rsidRPr="00FD1137">
              <w:rPr>
                <w:b/>
                <w:bCs/>
                <w:sz w:val="22"/>
                <w:szCs w:val="22"/>
              </w:rPr>
              <w:t>Target Capital Commitment</w:t>
            </w:r>
            <w:r w:rsidRPr="00A77E09">
              <w:rPr>
                <w:sz w:val="22"/>
                <w:szCs w:val="22"/>
              </w:rPr>
              <w:t>”).</w:t>
            </w:r>
            <w:r w:rsidR="008475C8">
              <w:rPr>
                <w:sz w:val="22"/>
                <w:szCs w:val="22"/>
              </w:rPr>
              <w:t xml:space="preserve"> </w:t>
            </w:r>
            <w:r w:rsidRPr="00A77E09">
              <w:rPr>
                <w:sz w:val="22"/>
                <w:szCs w:val="22"/>
              </w:rPr>
              <w:t>However, the General Partner may, in its sole discretion, accept total Capital Commitments of a lesser or greater amount.</w:t>
            </w:r>
          </w:p>
        </w:tc>
      </w:tr>
      <w:tr w:rsidR="009721F6" w:rsidRPr="00A77E09" w14:paraId="6C11A8F0" w14:textId="77777777" w:rsidTr="00FC026A">
        <w:tc>
          <w:tcPr>
            <w:tcW w:w="2523" w:type="dxa"/>
          </w:tcPr>
          <w:p w14:paraId="2D6D613A" w14:textId="57FD7F85" w:rsidR="009721F6" w:rsidRPr="00E130BD" w:rsidRDefault="00A77E09" w:rsidP="00D63DE8">
            <w:pPr>
              <w:pStyle w:val="BodyText"/>
              <w:numPr>
                <w:ilvl w:val="0"/>
                <w:numId w:val="26"/>
              </w:numPr>
              <w:spacing w:before="120" w:after="120"/>
              <w:ind w:left="426" w:hanging="426"/>
              <w:jc w:val="left"/>
              <w:rPr>
                <w:b/>
                <w:sz w:val="22"/>
                <w:szCs w:val="22"/>
                <w:lang w:val="ru-RU"/>
              </w:rPr>
            </w:pPr>
            <w:r>
              <w:rPr>
                <w:b/>
                <w:sz w:val="22"/>
                <w:szCs w:val="22"/>
              </w:rPr>
              <w:t xml:space="preserve">Minimum Capital Commitment </w:t>
            </w:r>
          </w:p>
        </w:tc>
        <w:tc>
          <w:tcPr>
            <w:tcW w:w="6614" w:type="dxa"/>
          </w:tcPr>
          <w:p w14:paraId="5837B46D" w14:textId="0CDB022F" w:rsidR="00AF27F3" w:rsidRPr="00A77E09" w:rsidRDefault="00A77E09" w:rsidP="00256B99">
            <w:pPr>
              <w:pStyle w:val="BodyText"/>
              <w:spacing w:before="120" w:after="120"/>
              <w:rPr>
                <w:sz w:val="22"/>
                <w:szCs w:val="22"/>
              </w:rPr>
            </w:pPr>
            <w:r w:rsidRPr="00A77E09">
              <w:rPr>
                <w:sz w:val="22"/>
                <w:szCs w:val="22"/>
              </w:rPr>
              <w:t>The minimum Capital Commitment of each of the Fund’s limited partners (the “</w:t>
            </w:r>
            <w:r w:rsidRPr="00AB1C3C">
              <w:rPr>
                <w:b/>
                <w:bCs/>
                <w:sz w:val="22"/>
                <w:szCs w:val="22"/>
              </w:rPr>
              <w:t>Limited Partners</w:t>
            </w:r>
            <w:r w:rsidRPr="00A77E09">
              <w:rPr>
                <w:sz w:val="22"/>
                <w:szCs w:val="22"/>
              </w:rPr>
              <w:t>”) is $</w:t>
            </w:r>
            <w:r w:rsidR="00AB1C3C">
              <w:rPr>
                <w:sz w:val="22"/>
                <w:szCs w:val="22"/>
              </w:rPr>
              <w:t>[</w:t>
            </w:r>
            <w:r w:rsidR="003333F4" w:rsidRPr="003333F4">
              <w:rPr>
                <w:sz w:val="22"/>
                <w:szCs w:val="22"/>
                <w:highlight w:val="yellow"/>
              </w:rPr>
              <w:t>XXX</w:t>
            </w:r>
            <w:r w:rsidR="00AB1C3C">
              <w:rPr>
                <w:sz w:val="22"/>
                <w:szCs w:val="22"/>
              </w:rPr>
              <w:t>]</w:t>
            </w:r>
            <w:r w:rsidRPr="00A77E09">
              <w:rPr>
                <w:sz w:val="22"/>
                <w:szCs w:val="22"/>
              </w:rPr>
              <w:t>.</w:t>
            </w:r>
            <w:r w:rsidR="008475C8">
              <w:rPr>
                <w:sz w:val="22"/>
                <w:szCs w:val="22"/>
              </w:rPr>
              <w:t xml:space="preserve"> </w:t>
            </w:r>
            <w:r w:rsidRPr="00A77E09">
              <w:rPr>
                <w:sz w:val="22"/>
                <w:szCs w:val="22"/>
              </w:rPr>
              <w:t xml:space="preserve">However, the General Partner, in </w:t>
            </w:r>
            <w:r w:rsidRPr="00A77E09">
              <w:rPr>
                <w:sz w:val="22"/>
                <w:szCs w:val="22"/>
              </w:rPr>
              <w:lastRenderedPageBreak/>
              <w:t>its sole discretion, may agree to accept a Capital Commitment from a Limited Partner of a lesser amount.</w:t>
            </w:r>
          </w:p>
        </w:tc>
      </w:tr>
      <w:tr w:rsidR="00583EEB" w:rsidRPr="00A77E09" w14:paraId="2870A0AB" w14:textId="77777777" w:rsidTr="00FC026A">
        <w:tc>
          <w:tcPr>
            <w:tcW w:w="2523" w:type="dxa"/>
          </w:tcPr>
          <w:p w14:paraId="74FA274B" w14:textId="6ED0C674" w:rsidR="00583EEB" w:rsidRPr="00E130BD" w:rsidRDefault="00A77E09" w:rsidP="00D63DE8">
            <w:pPr>
              <w:pStyle w:val="BodyText"/>
              <w:numPr>
                <w:ilvl w:val="0"/>
                <w:numId w:val="26"/>
              </w:numPr>
              <w:spacing w:before="120" w:after="120"/>
              <w:ind w:left="426" w:hanging="426"/>
              <w:jc w:val="left"/>
              <w:rPr>
                <w:b/>
                <w:sz w:val="22"/>
                <w:szCs w:val="22"/>
                <w:lang w:val="ru-RU"/>
              </w:rPr>
            </w:pPr>
            <w:r>
              <w:rPr>
                <w:b/>
                <w:sz w:val="22"/>
                <w:szCs w:val="22"/>
              </w:rPr>
              <w:lastRenderedPageBreak/>
              <w:t>General Partner Capital Commitment</w:t>
            </w:r>
          </w:p>
        </w:tc>
        <w:tc>
          <w:tcPr>
            <w:tcW w:w="6614" w:type="dxa"/>
          </w:tcPr>
          <w:p w14:paraId="3BC24F7F" w14:textId="0062E69C" w:rsidR="00D4471E" w:rsidRPr="00A77E09" w:rsidRDefault="00A77E09" w:rsidP="00EF1970">
            <w:pPr>
              <w:pStyle w:val="BodyText"/>
              <w:spacing w:before="120" w:after="120"/>
              <w:rPr>
                <w:sz w:val="22"/>
                <w:szCs w:val="22"/>
              </w:rPr>
            </w:pPr>
            <w:r w:rsidRPr="00A77E09">
              <w:rPr>
                <w:sz w:val="22"/>
                <w:szCs w:val="22"/>
              </w:rPr>
              <w:t xml:space="preserve">The General Partner, its affiliates and/or the Principals will make aggregate Capital Commitment(s) to the Fund equal to </w:t>
            </w:r>
            <w:r w:rsidR="00B60B27">
              <w:rPr>
                <w:sz w:val="22"/>
                <w:szCs w:val="22"/>
              </w:rPr>
              <w:t>[</w:t>
            </w:r>
            <w:r w:rsidR="00B60B27" w:rsidRPr="00B60B27">
              <w:rPr>
                <w:sz w:val="22"/>
                <w:szCs w:val="22"/>
                <w:highlight w:val="yellow"/>
              </w:rPr>
              <w:t>two</w:t>
            </w:r>
            <w:r w:rsidR="00B60B27">
              <w:rPr>
                <w:sz w:val="22"/>
                <w:szCs w:val="22"/>
              </w:rPr>
              <w:t>] percent (</w:t>
            </w:r>
            <w:r w:rsidR="001A6BA0">
              <w:rPr>
                <w:sz w:val="22"/>
                <w:szCs w:val="22"/>
              </w:rPr>
              <w:t>[</w:t>
            </w:r>
            <w:proofErr w:type="gramStart"/>
            <w:r w:rsidR="00D6415C" w:rsidRPr="00D6415C">
              <w:rPr>
                <w:sz w:val="22"/>
                <w:szCs w:val="22"/>
                <w:highlight w:val="yellow"/>
              </w:rPr>
              <w:t>2</w:t>
            </w:r>
            <w:r w:rsidR="001A6BA0">
              <w:rPr>
                <w:sz w:val="22"/>
                <w:szCs w:val="22"/>
              </w:rPr>
              <w:t>]</w:t>
            </w:r>
            <w:r w:rsidRPr="00A77E09">
              <w:rPr>
                <w:sz w:val="22"/>
                <w:szCs w:val="22"/>
              </w:rPr>
              <w:t>%</w:t>
            </w:r>
            <w:proofErr w:type="gramEnd"/>
            <w:r w:rsidR="00B60B27">
              <w:rPr>
                <w:sz w:val="22"/>
                <w:szCs w:val="22"/>
              </w:rPr>
              <w:t>)</w:t>
            </w:r>
            <w:r w:rsidRPr="00A77E09">
              <w:rPr>
                <w:sz w:val="22"/>
                <w:szCs w:val="22"/>
              </w:rPr>
              <w:t xml:space="preserve"> of Capital Commitments.</w:t>
            </w:r>
          </w:p>
        </w:tc>
      </w:tr>
      <w:tr w:rsidR="00F93E51" w:rsidRPr="00A77E09" w14:paraId="4C8A3B06" w14:textId="77777777" w:rsidTr="00FC026A">
        <w:tc>
          <w:tcPr>
            <w:tcW w:w="2523" w:type="dxa"/>
          </w:tcPr>
          <w:p w14:paraId="2B0C2A69" w14:textId="62CC86F1" w:rsidR="00F93E51" w:rsidRDefault="00F4028D" w:rsidP="00D63DE8">
            <w:pPr>
              <w:pStyle w:val="BodyText"/>
              <w:numPr>
                <w:ilvl w:val="0"/>
                <w:numId w:val="26"/>
              </w:numPr>
              <w:spacing w:before="120" w:after="120"/>
              <w:ind w:left="426" w:hanging="426"/>
              <w:jc w:val="left"/>
              <w:rPr>
                <w:b/>
                <w:sz w:val="22"/>
                <w:szCs w:val="22"/>
                <w:lang w:val="ru-RU"/>
              </w:rPr>
            </w:pPr>
            <w:r>
              <w:rPr>
                <w:b/>
                <w:sz w:val="22"/>
                <w:szCs w:val="22"/>
              </w:rPr>
              <w:t xml:space="preserve">Capital Calls </w:t>
            </w:r>
          </w:p>
        </w:tc>
        <w:tc>
          <w:tcPr>
            <w:tcW w:w="6614" w:type="dxa"/>
          </w:tcPr>
          <w:p w14:paraId="0CC3BF30" w14:textId="5043A7DF" w:rsidR="00F93E51" w:rsidRPr="00F4028D" w:rsidRDefault="00A77E09" w:rsidP="00EF1970">
            <w:pPr>
              <w:pStyle w:val="BodyText"/>
              <w:spacing w:before="120" w:after="120"/>
              <w:rPr>
                <w:sz w:val="22"/>
                <w:szCs w:val="22"/>
              </w:rPr>
            </w:pPr>
            <w:r w:rsidRPr="00A77E09">
              <w:rPr>
                <w:sz w:val="22"/>
                <w:szCs w:val="22"/>
              </w:rPr>
              <w:t>The General Partner will, from time to time and in its sole discretion, call capital from Limited Partners up to the amount of their respective Capital Commitments.</w:t>
            </w:r>
            <w:r w:rsidR="008475C8">
              <w:rPr>
                <w:sz w:val="22"/>
                <w:szCs w:val="22"/>
              </w:rPr>
              <w:t xml:space="preserve"> </w:t>
            </w:r>
            <w:r w:rsidRPr="00F4028D">
              <w:rPr>
                <w:sz w:val="22"/>
                <w:szCs w:val="22"/>
              </w:rPr>
              <w:t xml:space="preserve">Upon receipt of a capital call notice, Limited Partners will have at least </w:t>
            </w:r>
            <w:r w:rsidR="00F77C4E">
              <w:rPr>
                <w:sz w:val="22"/>
                <w:szCs w:val="22"/>
              </w:rPr>
              <w:t>[</w:t>
            </w:r>
            <w:r w:rsidR="009E2AE0" w:rsidRPr="009E2AE0">
              <w:rPr>
                <w:sz w:val="22"/>
                <w:szCs w:val="22"/>
                <w:highlight w:val="yellow"/>
              </w:rPr>
              <w:t>ten</w:t>
            </w:r>
            <w:r w:rsidR="00F77C4E">
              <w:rPr>
                <w:sz w:val="22"/>
                <w:szCs w:val="22"/>
              </w:rPr>
              <w:t>]</w:t>
            </w:r>
            <w:r w:rsidRPr="00F4028D">
              <w:rPr>
                <w:sz w:val="22"/>
                <w:szCs w:val="22"/>
              </w:rPr>
              <w:t xml:space="preserve"> (</w:t>
            </w:r>
            <w:r w:rsidR="000A2614">
              <w:rPr>
                <w:sz w:val="22"/>
                <w:szCs w:val="22"/>
              </w:rPr>
              <w:t>[</w:t>
            </w:r>
            <w:r w:rsidR="000A2614" w:rsidRPr="000A2614">
              <w:rPr>
                <w:sz w:val="22"/>
                <w:szCs w:val="22"/>
                <w:highlight w:val="yellow"/>
              </w:rPr>
              <w:t>10</w:t>
            </w:r>
            <w:r w:rsidR="000A2614">
              <w:rPr>
                <w:sz w:val="22"/>
                <w:szCs w:val="22"/>
              </w:rPr>
              <w:t>]</w:t>
            </w:r>
            <w:r w:rsidRPr="00F4028D">
              <w:rPr>
                <w:sz w:val="22"/>
                <w:szCs w:val="22"/>
              </w:rPr>
              <w:t>) business days to make a capital contribution to the Fund (each, a “</w:t>
            </w:r>
            <w:r w:rsidRPr="009E2AE0">
              <w:rPr>
                <w:b/>
                <w:bCs/>
                <w:sz w:val="22"/>
                <w:szCs w:val="22"/>
              </w:rPr>
              <w:t>Capital Contribution</w:t>
            </w:r>
            <w:r w:rsidRPr="00F4028D">
              <w:rPr>
                <w:sz w:val="22"/>
                <w:szCs w:val="22"/>
              </w:rPr>
              <w:t>”); provided that at the Fund’s initial closing (the “</w:t>
            </w:r>
            <w:r w:rsidRPr="009E2AE0">
              <w:rPr>
                <w:b/>
                <w:bCs/>
                <w:sz w:val="22"/>
                <w:szCs w:val="22"/>
              </w:rPr>
              <w:t>Initial Closing</w:t>
            </w:r>
            <w:r w:rsidRPr="00F4028D">
              <w:rPr>
                <w:sz w:val="22"/>
                <w:szCs w:val="22"/>
              </w:rPr>
              <w:t xml:space="preserve">”), the General Partner may, and intends to, make an initial call for Capital Contributions on less than </w:t>
            </w:r>
            <w:r w:rsidR="009E2AE0">
              <w:rPr>
                <w:sz w:val="22"/>
                <w:szCs w:val="22"/>
              </w:rPr>
              <w:t>[</w:t>
            </w:r>
            <w:r w:rsidRPr="009E2AE0">
              <w:rPr>
                <w:sz w:val="22"/>
                <w:szCs w:val="22"/>
                <w:highlight w:val="yellow"/>
              </w:rPr>
              <w:t>ten</w:t>
            </w:r>
            <w:r w:rsidR="009E2AE0">
              <w:rPr>
                <w:sz w:val="22"/>
                <w:szCs w:val="22"/>
              </w:rPr>
              <w:t>]</w:t>
            </w:r>
            <w:r w:rsidRPr="00F4028D">
              <w:rPr>
                <w:sz w:val="22"/>
                <w:szCs w:val="22"/>
              </w:rPr>
              <w:t xml:space="preserve"> (</w:t>
            </w:r>
            <w:r w:rsidR="002751D5">
              <w:rPr>
                <w:sz w:val="22"/>
                <w:szCs w:val="22"/>
              </w:rPr>
              <w:t>[</w:t>
            </w:r>
            <w:r w:rsidRPr="002751D5">
              <w:rPr>
                <w:sz w:val="22"/>
                <w:szCs w:val="22"/>
                <w:highlight w:val="yellow"/>
              </w:rPr>
              <w:t>10</w:t>
            </w:r>
            <w:r w:rsidR="002751D5">
              <w:rPr>
                <w:sz w:val="22"/>
                <w:szCs w:val="22"/>
              </w:rPr>
              <w:t>]</w:t>
            </w:r>
            <w:r w:rsidRPr="00F4028D">
              <w:rPr>
                <w:sz w:val="22"/>
                <w:szCs w:val="22"/>
              </w:rPr>
              <w:t>) business days’ notice.</w:t>
            </w:r>
          </w:p>
        </w:tc>
      </w:tr>
      <w:tr w:rsidR="0007284E" w:rsidRPr="00A83F3F" w14:paraId="3C3CA8DA" w14:textId="77777777" w:rsidTr="00FC026A">
        <w:tc>
          <w:tcPr>
            <w:tcW w:w="2523" w:type="dxa"/>
          </w:tcPr>
          <w:p w14:paraId="79815503" w14:textId="0C2E4341" w:rsidR="0007284E" w:rsidRPr="00E130BD" w:rsidRDefault="00F4028D" w:rsidP="00D63DE8">
            <w:pPr>
              <w:pStyle w:val="BodyText"/>
              <w:numPr>
                <w:ilvl w:val="0"/>
                <w:numId w:val="26"/>
              </w:numPr>
              <w:spacing w:before="120" w:after="120"/>
              <w:ind w:left="426" w:hanging="426"/>
              <w:jc w:val="left"/>
              <w:rPr>
                <w:b/>
                <w:sz w:val="22"/>
                <w:szCs w:val="22"/>
              </w:rPr>
            </w:pPr>
            <w:r>
              <w:rPr>
                <w:b/>
                <w:sz w:val="22"/>
                <w:szCs w:val="22"/>
              </w:rPr>
              <w:t>Closings</w:t>
            </w:r>
          </w:p>
        </w:tc>
        <w:tc>
          <w:tcPr>
            <w:tcW w:w="6614" w:type="dxa"/>
          </w:tcPr>
          <w:p w14:paraId="71A75A35" w14:textId="357CB358" w:rsidR="00953150" w:rsidRPr="00F4028D" w:rsidRDefault="00F4028D" w:rsidP="00F4028D">
            <w:pPr>
              <w:pStyle w:val="BodyText"/>
              <w:spacing w:before="120" w:after="120"/>
              <w:rPr>
                <w:sz w:val="22"/>
                <w:szCs w:val="22"/>
              </w:rPr>
            </w:pPr>
            <w:r w:rsidRPr="00F4028D">
              <w:rPr>
                <w:sz w:val="22"/>
                <w:szCs w:val="22"/>
              </w:rPr>
              <w:t>The date of the Initial Closing will be determined by the General Partner in its sole discretion.</w:t>
            </w:r>
            <w:r w:rsidR="008475C8">
              <w:rPr>
                <w:sz w:val="22"/>
                <w:szCs w:val="22"/>
              </w:rPr>
              <w:t xml:space="preserve"> </w:t>
            </w:r>
            <w:r w:rsidRPr="00F4028D">
              <w:rPr>
                <w:sz w:val="22"/>
                <w:szCs w:val="22"/>
              </w:rPr>
              <w:t>The General Partner may accept new Limited Partners and permit existing Limited Partners to increase their Capital Commitments (such new Limited Partners or, with respect to existing Limited Partners making additional Capital Commitments, the existing Limited Partners to the extent of the increase in their Capital Commitments, “</w:t>
            </w:r>
            <w:r w:rsidRPr="005D1B44">
              <w:rPr>
                <w:b/>
                <w:bCs/>
                <w:sz w:val="22"/>
                <w:szCs w:val="22"/>
              </w:rPr>
              <w:t>Additional Limited Partners</w:t>
            </w:r>
            <w:r w:rsidRPr="00F4028D">
              <w:rPr>
                <w:sz w:val="22"/>
                <w:szCs w:val="22"/>
              </w:rPr>
              <w:t>”) at one or more subsequent closings (each, a “</w:t>
            </w:r>
            <w:r w:rsidRPr="005D1B44">
              <w:rPr>
                <w:b/>
                <w:bCs/>
                <w:sz w:val="22"/>
                <w:szCs w:val="22"/>
              </w:rPr>
              <w:t>Subsequent Closing</w:t>
            </w:r>
            <w:r w:rsidRPr="00F4028D">
              <w:rPr>
                <w:sz w:val="22"/>
                <w:szCs w:val="22"/>
              </w:rPr>
              <w:t>”).</w:t>
            </w:r>
            <w:r w:rsidR="008475C8">
              <w:rPr>
                <w:sz w:val="22"/>
                <w:szCs w:val="22"/>
              </w:rPr>
              <w:t xml:space="preserve"> </w:t>
            </w:r>
            <w:r w:rsidRPr="00F4028D">
              <w:rPr>
                <w:sz w:val="22"/>
                <w:szCs w:val="22"/>
              </w:rPr>
              <w:t>The General Partner shall determine the date of each Subsequent Closing.</w:t>
            </w:r>
            <w:r w:rsidR="008475C8">
              <w:rPr>
                <w:sz w:val="22"/>
                <w:szCs w:val="22"/>
              </w:rPr>
              <w:t xml:space="preserve"> </w:t>
            </w:r>
            <w:r w:rsidRPr="00F4028D">
              <w:rPr>
                <w:sz w:val="22"/>
                <w:szCs w:val="22"/>
              </w:rPr>
              <w:t>The final Subsequent Closing (the “</w:t>
            </w:r>
            <w:r w:rsidRPr="001F0815">
              <w:rPr>
                <w:b/>
                <w:bCs/>
                <w:sz w:val="22"/>
                <w:szCs w:val="22"/>
              </w:rPr>
              <w:t>Final Closing</w:t>
            </w:r>
            <w:r w:rsidRPr="00F4028D">
              <w:rPr>
                <w:sz w:val="22"/>
                <w:szCs w:val="22"/>
              </w:rPr>
              <w:t xml:space="preserve">”) shall occur within </w:t>
            </w:r>
            <w:r w:rsidR="001F0815">
              <w:rPr>
                <w:sz w:val="22"/>
                <w:szCs w:val="22"/>
              </w:rPr>
              <w:t>[</w:t>
            </w:r>
            <w:r w:rsidRPr="001F0815">
              <w:rPr>
                <w:sz w:val="22"/>
                <w:szCs w:val="22"/>
                <w:highlight w:val="yellow"/>
              </w:rPr>
              <w:t>twelve</w:t>
            </w:r>
            <w:r w:rsidR="001F0815">
              <w:rPr>
                <w:sz w:val="22"/>
                <w:szCs w:val="22"/>
              </w:rPr>
              <w:t>]</w:t>
            </w:r>
            <w:r w:rsidRPr="00F4028D">
              <w:rPr>
                <w:sz w:val="22"/>
                <w:szCs w:val="22"/>
              </w:rPr>
              <w:t xml:space="preserve"> (</w:t>
            </w:r>
            <w:r w:rsidR="001F0815">
              <w:rPr>
                <w:sz w:val="22"/>
                <w:szCs w:val="22"/>
              </w:rPr>
              <w:t>[</w:t>
            </w:r>
            <w:r w:rsidRPr="001F0815">
              <w:rPr>
                <w:sz w:val="22"/>
                <w:szCs w:val="22"/>
                <w:highlight w:val="yellow"/>
              </w:rPr>
              <w:t>12</w:t>
            </w:r>
            <w:r w:rsidR="001F0815">
              <w:rPr>
                <w:sz w:val="22"/>
                <w:szCs w:val="22"/>
              </w:rPr>
              <w:t>]</w:t>
            </w:r>
            <w:r w:rsidRPr="00F4028D">
              <w:rPr>
                <w:sz w:val="22"/>
                <w:szCs w:val="22"/>
              </w:rPr>
              <w:t xml:space="preserve">) months of the Initial Closing, provided that the General Partner may extend the date of the Final Closing by </w:t>
            </w:r>
            <w:r w:rsidR="001F0815">
              <w:rPr>
                <w:sz w:val="22"/>
                <w:szCs w:val="22"/>
              </w:rPr>
              <w:t>[</w:t>
            </w:r>
            <w:r w:rsidRPr="001F0815">
              <w:rPr>
                <w:sz w:val="22"/>
                <w:szCs w:val="22"/>
                <w:highlight w:val="yellow"/>
              </w:rPr>
              <w:t>six</w:t>
            </w:r>
            <w:r w:rsidR="001F0815">
              <w:rPr>
                <w:sz w:val="22"/>
                <w:szCs w:val="22"/>
              </w:rPr>
              <w:t>]</w:t>
            </w:r>
            <w:r w:rsidRPr="00F4028D">
              <w:rPr>
                <w:sz w:val="22"/>
                <w:szCs w:val="22"/>
              </w:rPr>
              <w:t xml:space="preserve"> (</w:t>
            </w:r>
            <w:r w:rsidR="001F0815">
              <w:rPr>
                <w:sz w:val="22"/>
                <w:szCs w:val="22"/>
              </w:rPr>
              <w:t>[</w:t>
            </w:r>
            <w:r w:rsidRPr="001F0815">
              <w:rPr>
                <w:sz w:val="22"/>
                <w:szCs w:val="22"/>
                <w:highlight w:val="yellow"/>
              </w:rPr>
              <w:t>6</w:t>
            </w:r>
            <w:r w:rsidR="001F0815">
              <w:rPr>
                <w:sz w:val="22"/>
                <w:szCs w:val="22"/>
              </w:rPr>
              <w:t>]</w:t>
            </w:r>
            <w:r w:rsidRPr="00F4028D">
              <w:rPr>
                <w:sz w:val="22"/>
                <w:szCs w:val="22"/>
              </w:rPr>
              <w:t>) additional months with the consent of the Advisory Committee (as defined below) or a majority in interest of the Limited Partners.</w:t>
            </w:r>
          </w:p>
        </w:tc>
      </w:tr>
      <w:tr w:rsidR="00FD6D34" w:rsidRPr="00F4028D" w14:paraId="3036D225" w14:textId="77777777" w:rsidTr="00FC026A">
        <w:tc>
          <w:tcPr>
            <w:tcW w:w="2523" w:type="dxa"/>
          </w:tcPr>
          <w:p w14:paraId="58CFF2F6" w14:textId="5C8A5C17" w:rsidR="00FD6D34" w:rsidRDefault="00F4028D" w:rsidP="00D63DE8">
            <w:pPr>
              <w:pStyle w:val="BodyText"/>
              <w:numPr>
                <w:ilvl w:val="0"/>
                <w:numId w:val="26"/>
              </w:numPr>
              <w:spacing w:before="120" w:after="120"/>
              <w:ind w:left="426" w:hanging="426"/>
              <w:jc w:val="left"/>
              <w:rPr>
                <w:b/>
                <w:sz w:val="22"/>
                <w:szCs w:val="22"/>
                <w:lang w:val="ru-RU"/>
              </w:rPr>
            </w:pPr>
            <w:r>
              <w:rPr>
                <w:b/>
                <w:sz w:val="22"/>
                <w:szCs w:val="22"/>
              </w:rPr>
              <w:t xml:space="preserve">Additional Limited Partners </w:t>
            </w:r>
          </w:p>
        </w:tc>
        <w:tc>
          <w:tcPr>
            <w:tcW w:w="6614" w:type="dxa"/>
          </w:tcPr>
          <w:p w14:paraId="1B35B573" w14:textId="36973BB7" w:rsidR="00B759A9" w:rsidRDefault="00F4028D" w:rsidP="003C0BE2">
            <w:pPr>
              <w:pStyle w:val="BodyText"/>
              <w:spacing w:before="120" w:after="120"/>
              <w:rPr>
                <w:sz w:val="22"/>
                <w:szCs w:val="22"/>
              </w:rPr>
            </w:pPr>
            <w:r w:rsidRPr="00F4028D">
              <w:rPr>
                <w:sz w:val="22"/>
                <w:szCs w:val="22"/>
              </w:rPr>
              <w:t>At the time of the Subsequent Closing for which an Additional Limited Partner is admitted to the Fund or permitted to increase its Capital Commitment, such Additional Limited Partner will be required to make a Capital Contribution equal to: (</w:t>
            </w:r>
            <w:proofErr w:type="spellStart"/>
            <w:r w:rsidRPr="00F4028D">
              <w:rPr>
                <w:sz w:val="22"/>
                <w:szCs w:val="22"/>
              </w:rPr>
              <w:t>i</w:t>
            </w:r>
            <w:proofErr w:type="spellEnd"/>
            <w:r w:rsidRPr="00F4028D">
              <w:rPr>
                <w:sz w:val="22"/>
                <w:szCs w:val="22"/>
              </w:rPr>
              <w:t xml:space="preserve">) the Capital Contributions, other than the Capital Contributions for the Management Fee (as defined below), that such Additional Limited Partner would have made through the date of the applicable Subsequent Closing, as though such Additional Limited Partner was admitted or permitted to increase its Capital Commitment at the Initial Closing; (ii) the Capital Contributions for Management Fees that the Additional Limited Partner would have made through the date of the applicable Subsequent Closing, as though such Additional Limited Partner was admitted or permitted to increase its Capital Commitment at the Initial Closing; (iii) an additional amount, calculated like interest at a rate equal to prime plus </w:t>
            </w:r>
            <w:r w:rsidR="00D64E04">
              <w:rPr>
                <w:sz w:val="22"/>
                <w:szCs w:val="22"/>
              </w:rPr>
              <w:t>[</w:t>
            </w:r>
            <w:r w:rsidRPr="00D64E04">
              <w:rPr>
                <w:sz w:val="22"/>
                <w:szCs w:val="22"/>
                <w:highlight w:val="yellow"/>
              </w:rPr>
              <w:t>three</w:t>
            </w:r>
            <w:r w:rsidR="00D64E04">
              <w:rPr>
                <w:sz w:val="22"/>
                <w:szCs w:val="22"/>
              </w:rPr>
              <w:t>]</w:t>
            </w:r>
            <w:r w:rsidRPr="00F4028D">
              <w:rPr>
                <w:sz w:val="22"/>
                <w:szCs w:val="22"/>
              </w:rPr>
              <w:t xml:space="preserve"> percent (</w:t>
            </w:r>
            <w:r w:rsidR="00D64E04">
              <w:rPr>
                <w:sz w:val="22"/>
                <w:szCs w:val="22"/>
              </w:rPr>
              <w:t>[</w:t>
            </w:r>
            <w:r w:rsidRPr="00D64E04">
              <w:rPr>
                <w:sz w:val="22"/>
                <w:szCs w:val="22"/>
                <w:highlight w:val="yellow"/>
              </w:rPr>
              <w:t>3</w:t>
            </w:r>
            <w:r w:rsidR="00D64E04">
              <w:rPr>
                <w:sz w:val="22"/>
                <w:szCs w:val="22"/>
              </w:rPr>
              <w:t>]</w:t>
            </w:r>
            <w:r w:rsidRPr="00F4028D">
              <w:rPr>
                <w:sz w:val="22"/>
                <w:szCs w:val="22"/>
              </w:rPr>
              <w:t>%) per annum, on the amount in clause (</w:t>
            </w:r>
            <w:proofErr w:type="spellStart"/>
            <w:r w:rsidRPr="00F4028D">
              <w:rPr>
                <w:sz w:val="22"/>
                <w:szCs w:val="22"/>
              </w:rPr>
              <w:t>i</w:t>
            </w:r>
            <w:proofErr w:type="spellEnd"/>
            <w:r w:rsidRPr="00F4028D">
              <w:rPr>
                <w:sz w:val="22"/>
                <w:szCs w:val="22"/>
              </w:rPr>
              <w:t>), as though such Additional Limited Partner had been admitted or permitted to increase its Capital Commitment at the Initial Closing, unless such amount is waived by the General Partner; and</w:t>
            </w:r>
            <w:r w:rsidR="003012E0">
              <w:rPr>
                <w:sz w:val="22"/>
                <w:szCs w:val="22"/>
              </w:rPr>
              <w:t xml:space="preserve"> </w:t>
            </w:r>
            <w:r w:rsidRPr="00F4028D">
              <w:rPr>
                <w:sz w:val="22"/>
                <w:szCs w:val="22"/>
              </w:rPr>
              <w:t xml:space="preserve">(iv) an additional amount, calculated like interest at a rate equal to prime plus </w:t>
            </w:r>
            <w:r w:rsidR="003012E0">
              <w:rPr>
                <w:sz w:val="22"/>
                <w:szCs w:val="22"/>
              </w:rPr>
              <w:t>[</w:t>
            </w:r>
            <w:r w:rsidRPr="003012E0">
              <w:rPr>
                <w:sz w:val="22"/>
                <w:szCs w:val="22"/>
                <w:highlight w:val="yellow"/>
              </w:rPr>
              <w:t>three</w:t>
            </w:r>
            <w:r w:rsidR="003012E0">
              <w:rPr>
                <w:sz w:val="22"/>
                <w:szCs w:val="22"/>
              </w:rPr>
              <w:t>]</w:t>
            </w:r>
            <w:r w:rsidRPr="00F4028D">
              <w:rPr>
                <w:sz w:val="22"/>
                <w:szCs w:val="22"/>
              </w:rPr>
              <w:t xml:space="preserve"> percent (</w:t>
            </w:r>
            <w:r w:rsidR="003012E0">
              <w:rPr>
                <w:sz w:val="22"/>
                <w:szCs w:val="22"/>
              </w:rPr>
              <w:t>[</w:t>
            </w:r>
            <w:r w:rsidRPr="003012E0">
              <w:rPr>
                <w:sz w:val="22"/>
                <w:szCs w:val="22"/>
                <w:highlight w:val="yellow"/>
              </w:rPr>
              <w:t>3</w:t>
            </w:r>
            <w:r w:rsidR="003012E0">
              <w:rPr>
                <w:sz w:val="22"/>
                <w:szCs w:val="22"/>
              </w:rPr>
              <w:t>]</w:t>
            </w:r>
            <w:r w:rsidRPr="00F4028D">
              <w:rPr>
                <w:sz w:val="22"/>
                <w:szCs w:val="22"/>
              </w:rPr>
              <w:t xml:space="preserve">%) per annum, on the amount in clause (ii), as though such Additional Limited Partner had been admitted or permitted to increase its Capital Commitment at the Initial Closing, unless such amount is waived by the General Partner. The amounts paid by an Additional Limited Partner under clauses (iii) and (iv) will not entitle such Additional Limited Partner to receive any additional limited </w:t>
            </w:r>
            <w:r w:rsidRPr="00F4028D">
              <w:rPr>
                <w:sz w:val="22"/>
                <w:szCs w:val="22"/>
              </w:rPr>
              <w:lastRenderedPageBreak/>
              <w:t>partnership interest in the Fund (an “</w:t>
            </w:r>
            <w:r w:rsidRPr="00974106">
              <w:rPr>
                <w:b/>
                <w:bCs/>
                <w:sz w:val="22"/>
                <w:szCs w:val="22"/>
              </w:rPr>
              <w:t>Interest</w:t>
            </w:r>
            <w:r w:rsidRPr="00F4028D">
              <w:rPr>
                <w:sz w:val="22"/>
                <w:szCs w:val="22"/>
              </w:rPr>
              <w:t>”) in exchange therefor or be deemed to be a Capital Contribution. The amount contributed by the Additional Limited Partner under clause (iii) will be credited to the capital accounts of all the Limited Partners and the General Partner (the “</w:t>
            </w:r>
            <w:r w:rsidRPr="002713A9">
              <w:rPr>
                <w:b/>
                <w:bCs/>
                <w:sz w:val="22"/>
                <w:szCs w:val="22"/>
              </w:rPr>
              <w:t>Partners</w:t>
            </w:r>
            <w:r w:rsidRPr="00F4028D">
              <w:rPr>
                <w:sz w:val="22"/>
                <w:szCs w:val="22"/>
              </w:rPr>
              <w:t>”) on a pro rata basis based on their Capital Commitments, and the amounts contributed under clauses (ii) and (iv) shall be distributed to the Management Company.</w:t>
            </w:r>
          </w:p>
          <w:p w14:paraId="3CA8BBBB" w14:textId="0A15D395" w:rsidR="00F4028D" w:rsidRPr="00F4028D" w:rsidRDefault="00F4028D" w:rsidP="003C0BE2">
            <w:pPr>
              <w:pStyle w:val="BodyText"/>
              <w:spacing w:before="120" w:after="120"/>
              <w:rPr>
                <w:sz w:val="22"/>
                <w:szCs w:val="22"/>
              </w:rPr>
            </w:pPr>
            <w:r w:rsidRPr="00F4028D">
              <w:rPr>
                <w:sz w:val="22"/>
                <w:szCs w:val="22"/>
              </w:rPr>
              <w:t xml:space="preserve">All Additional Limited Partners admitted to the Fund or increasing their Capital Commitment to the Fund after the Initial Closing will be subject to the same terms and conditions of the Fund that applied to the Limited Partners admitted at the Initial </w:t>
            </w:r>
            <w:r w:rsidR="00E9472D" w:rsidRPr="00F4028D">
              <w:rPr>
                <w:sz w:val="22"/>
                <w:szCs w:val="22"/>
              </w:rPr>
              <w:t>Closing and</w:t>
            </w:r>
            <w:r w:rsidRPr="00F4028D">
              <w:rPr>
                <w:sz w:val="22"/>
                <w:szCs w:val="22"/>
              </w:rPr>
              <w:t xml:space="preserve"> shall participate in all existing investments of the Fund that have not been disposed of prior to the applicable Subsequent Closing.</w:t>
            </w:r>
          </w:p>
        </w:tc>
      </w:tr>
      <w:tr w:rsidR="0075354D" w:rsidRPr="00F4028D" w14:paraId="0CEBC611" w14:textId="77777777" w:rsidTr="00FC026A">
        <w:tc>
          <w:tcPr>
            <w:tcW w:w="2523" w:type="dxa"/>
          </w:tcPr>
          <w:p w14:paraId="054B339C" w14:textId="11330A78" w:rsidR="0075354D" w:rsidRDefault="00F4028D" w:rsidP="00D63DE8">
            <w:pPr>
              <w:pStyle w:val="BodyText"/>
              <w:numPr>
                <w:ilvl w:val="0"/>
                <w:numId w:val="26"/>
              </w:numPr>
              <w:spacing w:before="120" w:after="120"/>
              <w:ind w:left="426" w:hanging="426"/>
              <w:jc w:val="left"/>
              <w:rPr>
                <w:b/>
                <w:sz w:val="22"/>
                <w:szCs w:val="22"/>
                <w:lang w:val="ru-RU"/>
              </w:rPr>
            </w:pPr>
            <w:r>
              <w:rPr>
                <w:b/>
                <w:sz w:val="22"/>
                <w:szCs w:val="22"/>
              </w:rPr>
              <w:lastRenderedPageBreak/>
              <w:t xml:space="preserve">Capital Account </w:t>
            </w:r>
          </w:p>
        </w:tc>
        <w:tc>
          <w:tcPr>
            <w:tcW w:w="6614" w:type="dxa"/>
          </w:tcPr>
          <w:p w14:paraId="3107A258" w14:textId="69CDABFC" w:rsidR="00345F35" w:rsidRPr="00F4028D" w:rsidRDefault="00F4028D" w:rsidP="00256B99">
            <w:pPr>
              <w:pStyle w:val="BodyText"/>
              <w:spacing w:before="120" w:after="120"/>
              <w:rPr>
                <w:sz w:val="22"/>
                <w:szCs w:val="22"/>
              </w:rPr>
            </w:pPr>
            <w:r w:rsidRPr="00F4028D">
              <w:rPr>
                <w:sz w:val="22"/>
                <w:szCs w:val="22"/>
              </w:rPr>
              <w:t xml:space="preserve">The Fund will establish and maintain a </w:t>
            </w:r>
            <w:r w:rsidR="008B3B6B">
              <w:rPr>
                <w:sz w:val="22"/>
                <w:szCs w:val="22"/>
              </w:rPr>
              <w:t>c</w:t>
            </w:r>
            <w:r w:rsidRPr="00021A10">
              <w:rPr>
                <w:sz w:val="22"/>
                <w:szCs w:val="22"/>
              </w:rPr>
              <w:t xml:space="preserve">apital </w:t>
            </w:r>
            <w:r w:rsidR="00173A31">
              <w:rPr>
                <w:sz w:val="22"/>
                <w:szCs w:val="22"/>
              </w:rPr>
              <w:t>a</w:t>
            </w:r>
            <w:r w:rsidRPr="00021A10">
              <w:rPr>
                <w:sz w:val="22"/>
                <w:szCs w:val="22"/>
              </w:rPr>
              <w:t>ccount</w:t>
            </w:r>
            <w:r w:rsidRPr="00F4028D">
              <w:rPr>
                <w:sz w:val="22"/>
                <w:szCs w:val="22"/>
              </w:rPr>
              <w:t xml:space="preserve"> for each Partner</w:t>
            </w:r>
            <w:r w:rsidR="00173A31">
              <w:rPr>
                <w:sz w:val="22"/>
                <w:szCs w:val="22"/>
              </w:rPr>
              <w:t xml:space="preserve"> (“</w:t>
            </w:r>
            <w:r w:rsidR="00173A31">
              <w:rPr>
                <w:b/>
                <w:bCs/>
                <w:sz w:val="22"/>
                <w:szCs w:val="22"/>
              </w:rPr>
              <w:t>Capital Account</w:t>
            </w:r>
            <w:r w:rsidR="00173A31">
              <w:rPr>
                <w:sz w:val="22"/>
                <w:szCs w:val="22"/>
              </w:rPr>
              <w:t>”)</w:t>
            </w:r>
            <w:r w:rsidRPr="00F4028D">
              <w:rPr>
                <w:sz w:val="22"/>
                <w:szCs w:val="22"/>
              </w:rPr>
              <w:t>.</w:t>
            </w:r>
            <w:r w:rsidR="008475C8">
              <w:rPr>
                <w:sz w:val="22"/>
                <w:szCs w:val="22"/>
              </w:rPr>
              <w:t xml:space="preserve"> </w:t>
            </w:r>
            <w:r w:rsidRPr="00F4028D">
              <w:rPr>
                <w:sz w:val="22"/>
                <w:szCs w:val="22"/>
              </w:rPr>
              <w:t>Each Capital Account’s balance will be: (</w:t>
            </w:r>
            <w:proofErr w:type="spellStart"/>
            <w:r w:rsidRPr="00F4028D">
              <w:rPr>
                <w:sz w:val="22"/>
                <w:szCs w:val="22"/>
              </w:rPr>
              <w:t>i</w:t>
            </w:r>
            <w:proofErr w:type="spellEnd"/>
            <w:r w:rsidRPr="00F4028D">
              <w:rPr>
                <w:sz w:val="22"/>
                <w:szCs w:val="22"/>
              </w:rPr>
              <w:t>) increased by: (</w:t>
            </w:r>
            <w:r w:rsidR="001938B0">
              <w:rPr>
                <w:sz w:val="22"/>
                <w:szCs w:val="22"/>
              </w:rPr>
              <w:t>a</w:t>
            </w:r>
            <w:r w:rsidRPr="00F4028D">
              <w:rPr>
                <w:sz w:val="22"/>
                <w:szCs w:val="22"/>
              </w:rPr>
              <w:t>) a Partner’s Capital Contributions and (</w:t>
            </w:r>
            <w:r w:rsidR="001938B0">
              <w:rPr>
                <w:sz w:val="22"/>
                <w:szCs w:val="22"/>
              </w:rPr>
              <w:t>b</w:t>
            </w:r>
            <w:r w:rsidRPr="00F4028D">
              <w:rPr>
                <w:sz w:val="22"/>
                <w:szCs w:val="22"/>
              </w:rPr>
              <w:t>) a Partner’s allocated share of Fund profits, both realized and unrealized; and (ii) decreased by: (</w:t>
            </w:r>
            <w:r w:rsidR="00361A92">
              <w:rPr>
                <w:sz w:val="22"/>
                <w:szCs w:val="22"/>
              </w:rPr>
              <w:t>a</w:t>
            </w:r>
            <w:r w:rsidRPr="00F4028D">
              <w:rPr>
                <w:sz w:val="22"/>
                <w:szCs w:val="22"/>
              </w:rPr>
              <w:t>) cash distributions and in-kind distributions (using their fair market value at the time of distribution) made by the Fund to a Partner and (</w:t>
            </w:r>
            <w:r w:rsidR="00361A92">
              <w:rPr>
                <w:sz w:val="22"/>
                <w:szCs w:val="22"/>
              </w:rPr>
              <w:t>b</w:t>
            </w:r>
            <w:r w:rsidRPr="00F4028D">
              <w:rPr>
                <w:sz w:val="22"/>
                <w:szCs w:val="22"/>
              </w:rPr>
              <w:t>) a Partner’s allocated share of Fund losses, both realized and unrealized.</w:t>
            </w:r>
          </w:p>
        </w:tc>
      </w:tr>
      <w:tr w:rsidR="000F78DA" w:rsidRPr="00F4028D" w14:paraId="009FA047" w14:textId="77777777" w:rsidTr="00FC026A">
        <w:tc>
          <w:tcPr>
            <w:tcW w:w="2523" w:type="dxa"/>
          </w:tcPr>
          <w:p w14:paraId="792BC54C" w14:textId="403E602E" w:rsidR="000F78DA" w:rsidRDefault="00F4028D" w:rsidP="00D63DE8">
            <w:pPr>
              <w:pStyle w:val="BodyText"/>
              <w:numPr>
                <w:ilvl w:val="0"/>
                <w:numId w:val="26"/>
              </w:numPr>
              <w:spacing w:before="120" w:after="120"/>
              <w:ind w:left="426" w:hanging="426"/>
              <w:jc w:val="left"/>
              <w:rPr>
                <w:b/>
                <w:sz w:val="22"/>
                <w:szCs w:val="22"/>
                <w:lang w:val="ru-RU"/>
              </w:rPr>
            </w:pPr>
            <w:r>
              <w:rPr>
                <w:b/>
                <w:sz w:val="22"/>
                <w:szCs w:val="22"/>
              </w:rPr>
              <w:t>Investment Period</w:t>
            </w:r>
          </w:p>
        </w:tc>
        <w:tc>
          <w:tcPr>
            <w:tcW w:w="6614" w:type="dxa"/>
          </w:tcPr>
          <w:p w14:paraId="1F3CF56A" w14:textId="27749970" w:rsidR="000F78DA" w:rsidRPr="00F4028D" w:rsidRDefault="00F4028D" w:rsidP="00256B99">
            <w:pPr>
              <w:pStyle w:val="BodyText"/>
              <w:spacing w:before="120" w:after="120"/>
              <w:rPr>
                <w:sz w:val="22"/>
                <w:szCs w:val="22"/>
              </w:rPr>
            </w:pPr>
            <w:r w:rsidRPr="00F4028D">
              <w:rPr>
                <w:sz w:val="22"/>
                <w:szCs w:val="22"/>
              </w:rPr>
              <w:t xml:space="preserve">The General Partner may call capital for new Portfolio Investments during the period commencing as of the Initial Closing and ending on the </w:t>
            </w:r>
            <w:r w:rsidR="003333F4">
              <w:rPr>
                <w:sz w:val="22"/>
                <w:szCs w:val="22"/>
              </w:rPr>
              <w:t>[</w:t>
            </w:r>
            <w:r w:rsidR="0026422A" w:rsidRPr="003333F4">
              <w:rPr>
                <w:sz w:val="22"/>
                <w:szCs w:val="22"/>
                <w:highlight w:val="yellow"/>
              </w:rPr>
              <w:t>third</w:t>
            </w:r>
            <w:r w:rsidR="003333F4">
              <w:rPr>
                <w:sz w:val="22"/>
                <w:szCs w:val="22"/>
              </w:rPr>
              <w:t>]</w:t>
            </w:r>
            <w:r w:rsidRPr="00F4028D">
              <w:rPr>
                <w:sz w:val="22"/>
                <w:szCs w:val="22"/>
              </w:rPr>
              <w:t xml:space="preserve"> anniversary of the Initial Closing (the “</w:t>
            </w:r>
            <w:r w:rsidRPr="0026422A">
              <w:rPr>
                <w:b/>
                <w:bCs/>
                <w:sz w:val="22"/>
                <w:szCs w:val="22"/>
              </w:rPr>
              <w:t>Investment Period</w:t>
            </w:r>
            <w:r w:rsidRPr="00F4028D">
              <w:rPr>
                <w:sz w:val="22"/>
                <w:szCs w:val="22"/>
              </w:rPr>
              <w:t>”).</w:t>
            </w:r>
            <w:r w:rsidR="008475C8">
              <w:rPr>
                <w:sz w:val="22"/>
                <w:szCs w:val="22"/>
              </w:rPr>
              <w:t xml:space="preserve"> </w:t>
            </w:r>
            <w:r w:rsidRPr="00F4028D">
              <w:rPr>
                <w:sz w:val="22"/>
                <w:szCs w:val="22"/>
              </w:rPr>
              <w:t>After the expiration or termination of the Investment Period, the Limited Partners will only be required to make further Capital Contributions with respect to (</w:t>
            </w:r>
            <w:proofErr w:type="spellStart"/>
            <w:r w:rsidRPr="00F4028D">
              <w:rPr>
                <w:sz w:val="22"/>
                <w:szCs w:val="22"/>
              </w:rPr>
              <w:t>i</w:t>
            </w:r>
            <w:proofErr w:type="spellEnd"/>
            <w:r w:rsidRPr="00F4028D">
              <w:rPr>
                <w:sz w:val="22"/>
                <w:szCs w:val="22"/>
              </w:rPr>
              <w:t>) Fund Expenses (as defined below), (ii) investments related to or intended to preserve or enhance the value of investments in existing Portfolio Companies (“</w:t>
            </w:r>
            <w:r w:rsidRPr="005823C1">
              <w:rPr>
                <w:b/>
                <w:bCs/>
                <w:sz w:val="22"/>
                <w:szCs w:val="22"/>
              </w:rPr>
              <w:t>Follow-On Investments</w:t>
            </w:r>
            <w:r w:rsidRPr="00F4028D">
              <w:rPr>
                <w:sz w:val="22"/>
                <w:szCs w:val="22"/>
              </w:rPr>
              <w:t>”), and (iii) investments under active consideration by the Fund prior to the end of the Investment Period pursuant to a written memorandum of understanding, letter of intent or other written commitment (“</w:t>
            </w:r>
            <w:r w:rsidRPr="005823C1">
              <w:rPr>
                <w:b/>
                <w:bCs/>
                <w:sz w:val="22"/>
                <w:szCs w:val="22"/>
              </w:rPr>
              <w:t>Follow-Up Investments</w:t>
            </w:r>
            <w:r w:rsidRPr="00F4028D">
              <w:rPr>
                <w:sz w:val="22"/>
                <w:szCs w:val="22"/>
              </w:rPr>
              <w:t>”).</w:t>
            </w:r>
          </w:p>
        </w:tc>
      </w:tr>
      <w:tr w:rsidR="009A6BFF" w:rsidRPr="00F4028D" w14:paraId="01256644" w14:textId="77777777" w:rsidTr="00FC026A">
        <w:tc>
          <w:tcPr>
            <w:tcW w:w="2523" w:type="dxa"/>
          </w:tcPr>
          <w:p w14:paraId="717370D5" w14:textId="74EC2DAC" w:rsidR="009A6BFF" w:rsidRDefault="00F4028D" w:rsidP="00D63DE8">
            <w:pPr>
              <w:pStyle w:val="BodyText"/>
              <w:numPr>
                <w:ilvl w:val="0"/>
                <w:numId w:val="26"/>
              </w:numPr>
              <w:spacing w:before="120" w:after="120"/>
              <w:ind w:left="426" w:hanging="426"/>
              <w:jc w:val="left"/>
              <w:rPr>
                <w:b/>
                <w:sz w:val="22"/>
                <w:szCs w:val="22"/>
                <w:lang w:val="ru-RU"/>
              </w:rPr>
            </w:pPr>
            <w:r>
              <w:rPr>
                <w:b/>
                <w:sz w:val="22"/>
                <w:szCs w:val="22"/>
              </w:rPr>
              <w:t>Investment Restrictions</w:t>
            </w:r>
          </w:p>
        </w:tc>
        <w:tc>
          <w:tcPr>
            <w:tcW w:w="6614" w:type="dxa"/>
          </w:tcPr>
          <w:p w14:paraId="74BC9177" w14:textId="244D71BF" w:rsidR="009A6BFF" w:rsidRPr="00F4028D" w:rsidRDefault="00F4028D" w:rsidP="00F4028D">
            <w:pPr>
              <w:pStyle w:val="BodyText"/>
              <w:spacing w:before="120" w:after="120"/>
              <w:rPr>
                <w:sz w:val="22"/>
                <w:szCs w:val="22"/>
              </w:rPr>
            </w:pPr>
            <w:r w:rsidRPr="00F4028D">
              <w:rPr>
                <w:sz w:val="22"/>
                <w:szCs w:val="22"/>
              </w:rPr>
              <w:t xml:space="preserve">The Fund will not invest more than </w:t>
            </w:r>
            <w:r w:rsidR="005823C1">
              <w:rPr>
                <w:sz w:val="22"/>
                <w:szCs w:val="22"/>
              </w:rPr>
              <w:t>[</w:t>
            </w:r>
            <w:r w:rsidRPr="005823C1">
              <w:rPr>
                <w:sz w:val="22"/>
                <w:szCs w:val="22"/>
                <w:highlight w:val="yellow"/>
              </w:rPr>
              <w:t>fifteen</w:t>
            </w:r>
            <w:r w:rsidR="005823C1">
              <w:rPr>
                <w:sz w:val="22"/>
                <w:szCs w:val="22"/>
              </w:rPr>
              <w:t>]</w:t>
            </w:r>
            <w:r w:rsidRPr="00F4028D">
              <w:rPr>
                <w:sz w:val="22"/>
                <w:szCs w:val="22"/>
              </w:rPr>
              <w:t xml:space="preserve"> percent (</w:t>
            </w:r>
            <w:r w:rsidR="005823C1">
              <w:rPr>
                <w:sz w:val="22"/>
                <w:szCs w:val="22"/>
              </w:rPr>
              <w:t>[</w:t>
            </w:r>
            <w:proofErr w:type="gramStart"/>
            <w:r w:rsidRPr="005823C1">
              <w:rPr>
                <w:sz w:val="22"/>
                <w:szCs w:val="22"/>
                <w:highlight w:val="yellow"/>
              </w:rPr>
              <w:t>15</w:t>
            </w:r>
            <w:r w:rsidR="005823C1">
              <w:rPr>
                <w:sz w:val="22"/>
                <w:szCs w:val="22"/>
              </w:rPr>
              <w:t>]</w:t>
            </w:r>
            <w:r w:rsidRPr="00F4028D">
              <w:rPr>
                <w:sz w:val="22"/>
                <w:szCs w:val="22"/>
              </w:rPr>
              <w:t>%</w:t>
            </w:r>
            <w:proofErr w:type="gramEnd"/>
            <w:r w:rsidRPr="00F4028D">
              <w:rPr>
                <w:sz w:val="22"/>
                <w:szCs w:val="22"/>
              </w:rPr>
              <w:t>) of the aggregate Capital Commitments in any single Portfolio Company (determined on a cost basis at the time of investment) without the approval of the Advisory Committee (as defined below) or a majority in interest of the Limited Partners; provided that prior to the Final Closing, the aggregate Capital Commitments shall be measured based on the Target Capital Commitment.</w:t>
            </w:r>
          </w:p>
        </w:tc>
      </w:tr>
      <w:tr w:rsidR="007E0460" w:rsidRPr="00F4028D" w14:paraId="454ED82E" w14:textId="77777777" w:rsidTr="00FC026A">
        <w:tc>
          <w:tcPr>
            <w:tcW w:w="2523" w:type="dxa"/>
          </w:tcPr>
          <w:p w14:paraId="13CF541D" w14:textId="0D155677" w:rsidR="007E0460" w:rsidRDefault="00F4028D" w:rsidP="00D63DE8">
            <w:pPr>
              <w:pStyle w:val="BodyText"/>
              <w:numPr>
                <w:ilvl w:val="0"/>
                <w:numId w:val="26"/>
              </w:numPr>
              <w:spacing w:before="120" w:after="120"/>
              <w:ind w:left="426" w:hanging="426"/>
              <w:jc w:val="left"/>
              <w:rPr>
                <w:b/>
                <w:sz w:val="22"/>
                <w:szCs w:val="22"/>
                <w:lang w:val="ru-RU"/>
              </w:rPr>
            </w:pPr>
            <w:r>
              <w:rPr>
                <w:b/>
                <w:sz w:val="22"/>
                <w:szCs w:val="22"/>
              </w:rPr>
              <w:t>Fund Expenses</w:t>
            </w:r>
          </w:p>
        </w:tc>
        <w:tc>
          <w:tcPr>
            <w:tcW w:w="6614" w:type="dxa"/>
          </w:tcPr>
          <w:p w14:paraId="23D838A4" w14:textId="180F7BA2" w:rsidR="00F4028D" w:rsidRPr="00F4028D" w:rsidRDefault="00F4028D" w:rsidP="00F4028D">
            <w:pPr>
              <w:pStyle w:val="BodyText"/>
              <w:spacing w:before="120" w:after="120"/>
              <w:rPr>
                <w:sz w:val="22"/>
                <w:szCs w:val="22"/>
              </w:rPr>
            </w:pPr>
            <w:r w:rsidRPr="00F4028D">
              <w:rPr>
                <w:sz w:val="22"/>
                <w:szCs w:val="22"/>
              </w:rPr>
              <w:t>The Fund will pay for all expenses incurred in connection with the organization and formation of the Fund and its related entities (“</w:t>
            </w:r>
            <w:r w:rsidRPr="006F178B">
              <w:rPr>
                <w:b/>
                <w:bCs/>
                <w:sz w:val="22"/>
                <w:szCs w:val="22"/>
              </w:rPr>
              <w:t>Organizational Expenses</w:t>
            </w:r>
            <w:r w:rsidRPr="00F4028D">
              <w:rPr>
                <w:sz w:val="22"/>
                <w:szCs w:val="22"/>
              </w:rPr>
              <w:t>”) up to $</w:t>
            </w:r>
            <w:r w:rsidR="006F178B">
              <w:rPr>
                <w:sz w:val="22"/>
                <w:szCs w:val="22"/>
              </w:rPr>
              <w:t>[</w:t>
            </w:r>
            <w:r w:rsidR="005E7A51" w:rsidRPr="005E7A51">
              <w:rPr>
                <w:sz w:val="22"/>
                <w:szCs w:val="22"/>
                <w:highlight w:val="yellow"/>
              </w:rPr>
              <w:t>xxx</w:t>
            </w:r>
            <w:r w:rsidR="006F178B">
              <w:rPr>
                <w:sz w:val="22"/>
                <w:szCs w:val="22"/>
              </w:rPr>
              <w:t>]</w:t>
            </w:r>
            <w:r w:rsidRPr="00F4028D">
              <w:rPr>
                <w:sz w:val="22"/>
                <w:szCs w:val="22"/>
              </w:rPr>
              <w:t xml:space="preserve"> (“</w:t>
            </w:r>
            <w:r w:rsidRPr="006F178B">
              <w:rPr>
                <w:b/>
                <w:bCs/>
                <w:sz w:val="22"/>
                <w:szCs w:val="22"/>
              </w:rPr>
              <w:t>Organizational Expense Cap</w:t>
            </w:r>
            <w:r w:rsidRPr="00F4028D">
              <w:rPr>
                <w:sz w:val="22"/>
                <w:szCs w:val="22"/>
              </w:rPr>
              <w:t>”). To the extent the Organizational Expenses exceed the Organizational Expense Cap, the General Partner, the Management Company and/or their affiliates shall be responsible for such excess.</w:t>
            </w:r>
          </w:p>
          <w:p w14:paraId="13DAA093" w14:textId="3901A9B2" w:rsidR="00417C2D" w:rsidRPr="00F4028D" w:rsidRDefault="00F4028D" w:rsidP="00F4028D">
            <w:pPr>
              <w:pStyle w:val="BodyText"/>
              <w:spacing w:before="120" w:after="120"/>
              <w:rPr>
                <w:sz w:val="22"/>
                <w:szCs w:val="22"/>
              </w:rPr>
            </w:pPr>
            <w:r w:rsidRPr="00F4028D">
              <w:rPr>
                <w:sz w:val="22"/>
                <w:szCs w:val="22"/>
              </w:rPr>
              <w:t xml:space="preserve">The Fund will also pay for all expenses incurred in connection with the Fund’s activities and investments, including the fees, costs and expenses related to acquiring, holding, restructuring, recapitalizing and disposing of investments; expenses related to performing due diligence and analysis regarding investments, whether or not consummated; expenses related to </w:t>
            </w:r>
            <w:r w:rsidRPr="00F4028D">
              <w:rPr>
                <w:sz w:val="22"/>
                <w:szCs w:val="22"/>
              </w:rPr>
              <w:lastRenderedPageBreak/>
              <w:t>forming, organizing and maintaining entities through or in which investments will be made; registered office and agent expenses; transfer, capital, stamp and other taxes or governmental charges, duties and fees; reasonable travel expenses incurred by the General Partner or the Management Company to investigate, evaluate, assess and monitor investments or potential investments; fees, costs and commissions related to banking, brokerage, legal, custodial, administrative, appraisal, valuation, auditing, accounting, tax compliance (including fees incurred to prepare the Fund’s financial statements, tax returns and similar reports) and consulting expenses incurred by the Fund or the General Partner on behalf of the Fund; expenses of Advisory Committee (as defined below), if any meetings; fees, costs and expenses of reporting to investors and investor meetings and any other Fund-specific reporting, notification or other filing obligations; fees incurred in connection with negotiating and preparing side letters or amending the Partnership Agreement; costs of Fund’s compliance with applicable law; reasonable premiums for insurance; costs of winding up and liquidating the Fund including any entities formed for the purpose of making or holding investments; expenses incurred in connection with a Limited Partner that defaults in respect of a Capital Commitment to the Fund; the Management Fees; extraordinary expenses such as litigation, workout and restructuring and indemnification expenses, if any; and any other expense reasonably attributable to the Fund (collectively, “</w:t>
            </w:r>
            <w:r w:rsidRPr="00785AAD">
              <w:rPr>
                <w:b/>
                <w:bCs/>
                <w:sz w:val="22"/>
                <w:szCs w:val="22"/>
              </w:rPr>
              <w:t>Fund Expenses</w:t>
            </w:r>
            <w:r w:rsidRPr="00F4028D">
              <w:rPr>
                <w:sz w:val="22"/>
                <w:szCs w:val="22"/>
              </w:rPr>
              <w:t>”).</w:t>
            </w:r>
          </w:p>
        </w:tc>
      </w:tr>
      <w:tr w:rsidR="007E021A" w:rsidRPr="00F4028D" w14:paraId="3DC25F36" w14:textId="77777777" w:rsidTr="00FC026A">
        <w:tc>
          <w:tcPr>
            <w:tcW w:w="2523" w:type="dxa"/>
          </w:tcPr>
          <w:p w14:paraId="13E117F4" w14:textId="4FE8C60A" w:rsidR="007E021A" w:rsidRPr="00F4028D" w:rsidRDefault="00F4028D" w:rsidP="00D63DE8">
            <w:pPr>
              <w:pStyle w:val="BodyText"/>
              <w:numPr>
                <w:ilvl w:val="0"/>
                <w:numId w:val="26"/>
              </w:numPr>
              <w:spacing w:before="120" w:after="120"/>
              <w:ind w:left="426" w:hanging="426"/>
              <w:jc w:val="left"/>
              <w:rPr>
                <w:b/>
                <w:sz w:val="22"/>
                <w:szCs w:val="22"/>
              </w:rPr>
            </w:pPr>
            <w:r>
              <w:rPr>
                <w:b/>
                <w:sz w:val="22"/>
                <w:szCs w:val="22"/>
              </w:rPr>
              <w:lastRenderedPageBreak/>
              <w:t xml:space="preserve">Management Company and General Partner Expenses </w:t>
            </w:r>
          </w:p>
        </w:tc>
        <w:tc>
          <w:tcPr>
            <w:tcW w:w="6614" w:type="dxa"/>
          </w:tcPr>
          <w:p w14:paraId="3D609860" w14:textId="6FD2445A" w:rsidR="007E021A" w:rsidRPr="00F4028D" w:rsidRDefault="00F4028D" w:rsidP="00CB5912">
            <w:pPr>
              <w:pStyle w:val="BodyText"/>
              <w:spacing w:before="120" w:after="120"/>
              <w:rPr>
                <w:sz w:val="22"/>
                <w:szCs w:val="22"/>
              </w:rPr>
            </w:pPr>
            <w:r w:rsidRPr="00F4028D">
              <w:rPr>
                <w:sz w:val="22"/>
                <w:szCs w:val="22"/>
              </w:rPr>
              <w:t>The Management Company and the General Partner will each bear its own ordinary administrative and overhead expenses, including without limitation, salaries, rent, office costs and utilities.</w:t>
            </w:r>
          </w:p>
        </w:tc>
      </w:tr>
      <w:tr w:rsidR="00201C6F" w:rsidRPr="00F4028D" w14:paraId="4CAD6DDC" w14:textId="77777777" w:rsidTr="00FC026A">
        <w:tc>
          <w:tcPr>
            <w:tcW w:w="2523" w:type="dxa"/>
          </w:tcPr>
          <w:p w14:paraId="5D0157CA" w14:textId="4613980B" w:rsidR="00201C6F" w:rsidRDefault="00F4028D" w:rsidP="00D63DE8">
            <w:pPr>
              <w:pStyle w:val="BodyText"/>
              <w:numPr>
                <w:ilvl w:val="0"/>
                <w:numId w:val="26"/>
              </w:numPr>
              <w:spacing w:before="120" w:after="120"/>
              <w:ind w:left="426" w:hanging="426"/>
              <w:jc w:val="left"/>
              <w:rPr>
                <w:b/>
                <w:sz w:val="22"/>
                <w:szCs w:val="22"/>
                <w:lang w:val="ru-RU"/>
              </w:rPr>
            </w:pPr>
            <w:r>
              <w:rPr>
                <w:b/>
                <w:sz w:val="22"/>
                <w:szCs w:val="22"/>
              </w:rPr>
              <w:t>Management Fee</w:t>
            </w:r>
          </w:p>
        </w:tc>
        <w:tc>
          <w:tcPr>
            <w:tcW w:w="6614" w:type="dxa"/>
          </w:tcPr>
          <w:p w14:paraId="1791BA86" w14:textId="2C55867F" w:rsidR="009023C5" w:rsidRPr="00F4028D" w:rsidRDefault="00F4028D" w:rsidP="00256B99">
            <w:pPr>
              <w:pStyle w:val="BodyText"/>
              <w:spacing w:before="120" w:after="120"/>
              <w:rPr>
                <w:sz w:val="22"/>
                <w:szCs w:val="22"/>
              </w:rPr>
            </w:pPr>
            <w:r w:rsidRPr="00F4028D">
              <w:rPr>
                <w:sz w:val="22"/>
                <w:szCs w:val="22"/>
              </w:rPr>
              <w:t>The Fund will pay the Management Company an annual management fee (the “</w:t>
            </w:r>
            <w:r w:rsidRPr="0071732C">
              <w:rPr>
                <w:b/>
                <w:bCs/>
                <w:sz w:val="22"/>
                <w:szCs w:val="22"/>
              </w:rPr>
              <w:t>Management Fee</w:t>
            </w:r>
            <w:r w:rsidRPr="00F4028D">
              <w:rPr>
                <w:sz w:val="22"/>
                <w:szCs w:val="22"/>
              </w:rPr>
              <w:t xml:space="preserve">”), payable quarterly in advance, equal to </w:t>
            </w:r>
            <w:r w:rsidR="0071732C">
              <w:rPr>
                <w:sz w:val="22"/>
                <w:szCs w:val="22"/>
              </w:rPr>
              <w:t>[</w:t>
            </w:r>
            <w:r w:rsidR="0071732C" w:rsidRPr="0071732C">
              <w:rPr>
                <w:sz w:val="22"/>
                <w:szCs w:val="22"/>
                <w:highlight w:val="yellow"/>
              </w:rPr>
              <w:t>two</w:t>
            </w:r>
            <w:r w:rsidR="0071732C">
              <w:rPr>
                <w:sz w:val="22"/>
                <w:szCs w:val="22"/>
              </w:rPr>
              <w:t>] percent ([</w:t>
            </w:r>
            <w:proofErr w:type="gramStart"/>
            <w:r w:rsidRPr="0071732C">
              <w:rPr>
                <w:sz w:val="22"/>
                <w:szCs w:val="22"/>
                <w:highlight w:val="yellow"/>
              </w:rPr>
              <w:t>2</w:t>
            </w:r>
            <w:r w:rsidR="0071732C">
              <w:rPr>
                <w:sz w:val="22"/>
                <w:szCs w:val="22"/>
              </w:rPr>
              <w:t>]</w:t>
            </w:r>
            <w:r w:rsidRPr="00F4028D">
              <w:rPr>
                <w:sz w:val="22"/>
                <w:szCs w:val="22"/>
              </w:rPr>
              <w:t>%</w:t>
            </w:r>
            <w:proofErr w:type="gramEnd"/>
            <w:r w:rsidR="0071732C">
              <w:rPr>
                <w:sz w:val="22"/>
                <w:szCs w:val="22"/>
              </w:rPr>
              <w:t>)</w:t>
            </w:r>
            <w:r w:rsidRPr="00F4028D">
              <w:rPr>
                <w:sz w:val="22"/>
                <w:szCs w:val="22"/>
              </w:rPr>
              <w:t xml:space="preserve"> (the “</w:t>
            </w:r>
            <w:r w:rsidRPr="0071732C">
              <w:rPr>
                <w:b/>
                <w:bCs/>
                <w:sz w:val="22"/>
                <w:szCs w:val="22"/>
              </w:rPr>
              <w:t>Base Rate</w:t>
            </w:r>
            <w:r w:rsidRPr="00F4028D">
              <w:rPr>
                <w:sz w:val="22"/>
                <w:szCs w:val="22"/>
              </w:rPr>
              <w:t>”) of the Capital Commitments.</w:t>
            </w:r>
            <w:r w:rsidR="008475C8">
              <w:rPr>
                <w:sz w:val="22"/>
                <w:szCs w:val="22"/>
              </w:rPr>
              <w:t xml:space="preserve"> </w:t>
            </w:r>
            <w:r w:rsidRPr="00F4028D">
              <w:rPr>
                <w:sz w:val="22"/>
                <w:szCs w:val="22"/>
              </w:rPr>
              <w:t xml:space="preserve">Notwithstanding the foregoing, commencing with the first fiscal quarter beginning after the Investment Period ends, the Base Rate shall be reduced by </w:t>
            </w:r>
            <w:r w:rsidR="00570F92">
              <w:rPr>
                <w:sz w:val="22"/>
                <w:szCs w:val="22"/>
              </w:rPr>
              <w:t>[</w:t>
            </w:r>
            <w:r w:rsidRPr="00570F92">
              <w:rPr>
                <w:sz w:val="22"/>
                <w:szCs w:val="22"/>
                <w:highlight w:val="yellow"/>
              </w:rPr>
              <w:t>ten</w:t>
            </w:r>
            <w:r w:rsidR="00570F92">
              <w:rPr>
                <w:sz w:val="22"/>
                <w:szCs w:val="22"/>
              </w:rPr>
              <w:t>]</w:t>
            </w:r>
            <w:r w:rsidRPr="00F4028D">
              <w:rPr>
                <w:sz w:val="22"/>
                <w:szCs w:val="22"/>
              </w:rPr>
              <w:t xml:space="preserve"> percent (</w:t>
            </w:r>
            <w:r w:rsidR="00570F92">
              <w:rPr>
                <w:sz w:val="22"/>
                <w:szCs w:val="22"/>
              </w:rPr>
              <w:t>[</w:t>
            </w:r>
            <w:r w:rsidRPr="00570F92">
              <w:rPr>
                <w:sz w:val="22"/>
                <w:szCs w:val="22"/>
                <w:highlight w:val="yellow"/>
              </w:rPr>
              <w:t>10</w:t>
            </w:r>
            <w:r w:rsidR="00570F92">
              <w:rPr>
                <w:sz w:val="22"/>
                <w:szCs w:val="22"/>
              </w:rPr>
              <w:t>]</w:t>
            </w:r>
            <w:r w:rsidRPr="00F4028D">
              <w:rPr>
                <w:sz w:val="22"/>
                <w:szCs w:val="22"/>
              </w:rPr>
              <w:t xml:space="preserve">%) of the Base Rate of the fiscal quarter immediately prior to that reduction (i.e., to </w:t>
            </w:r>
            <w:r w:rsidR="00C05257">
              <w:rPr>
                <w:sz w:val="22"/>
                <w:szCs w:val="22"/>
              </w:rPr>
              <w:t>[</w:t>
            </w:r>
            <w:r w:rsidRPr="00C05257">
              <w:rPr>
                <w:sz w:val="22"/>
                <w:szCs w:val="22"/>
                <w:highlight w:val="yellow"/>
              </w:rPr>
              <w:t>1.8</w:t>
            </w:r>
            <w:r w:rsidR="00C05257">
              <w:rPr>
                <w:sz w:val="22"/>
                <w:szCs w:val="22"/>
              </w:rPr>
              <w:t>]</w:t>
            </w:r>
            <w:r w:rsidRPr="00F4028D">
              <w:rPr>
                <w:sz w:val="22"/>
                <w:szCs w:val="22"/>
              </w:rPr>
              <w:t xml:space="preserve">%) and every </w:t>
            </w:r>
            <w:r w:rsidR="00C05257">
              <w:rPr>
                <w:sz w:val="22"/>
                <w:szCs w:val="22"/>
              </w:rPr>
              <w:t>[</w:t>
            </w:r>
            <w:r w:rsidRPr="00C05257">
              <w:rPr>
                <w:sz w:val="22"/>
                <w:szCs w:val="22"/>
                <w:highlight w:val="yellow"/>
              </w:rPr>
              <w:t>twelve</w:t>
            </w:r>
            <w:r w:rsidR="00C05257">
              <w:rPr>
                <w:sz w:val="22"/>
                <w:szCs w:val="22"/>
              </w:rPr>
              <w:t>]</w:t>
            </w:r>
            <w:r w:rsidRPr="00F4028D">
              <w:rPr>
                <w:sz w:val="22"/>
                <w:szCs w:val="22"/>
              </w:rPr>
              <w:t xml:space="preserve"> (</w:t>
            </w:r>
            <w:r w:rsidR="00C05257">
              <w:rPr>
                <w:sz w:val="22"/>
                <w:szCs w:val="22"/>
              </w:rPr>
              <w:t>[</w:t>
            </w:r>
            <w:r w:rsidRPr="00C05257">
              <w:rPr>
                <w:sz w:val="22"/>
                <w:szCs w:val="22"/>
                <w:highlight w:val="yellow"/>
              </w:rPr>
              <w:t>12</w:t>
            </w:r>
            <w:r w:rsidR="00C05257">
              <w:rPr>
                <w:sz w:val="22"/>
                <w:szCs w:val="22"/>
              </w:rPr>
              <w:t>]</w:t>
            </w:r>
            <w:r w:rsidRPr="00F4028D">
              <w:rPr>
                <w:sz w:val="22"/>
                <w:szCs w:val="22"/>
              </w:rPr>
              <w:t xml:space="preserve">) months thereafter, the Base Rate shall be reduced by </w:t>
            </w:r>
            <w:r w:rsidR="00C05257">
              <w:rPr>
                <w:sz w:val="22"/>
                <w:szCs w:val="22"/>
              </w:rPr>
              <w:t>[</w:t>
            </w:r>
            <w:r w:rsidRPr="004B6636">
              <w:rPr>
                <w:sz w:val="22"/>
                <w:szCs w:val="22"/>
                <w:highlight w:val="yellow"/>
              </w:rPr>
              <w:t>ten</w:t>
            </w:r>
            <w:r w:rsidR="00C05257">
              <w:rPr>
                <w:sz w:val="22"/>
                <w:szCs w:val="22"/>
              </w:rPr>
              <w:t>]</w:t>
            </w:r>
            <w:r w:rsidRPr="00F4028D">
              <w:rPr>
                <w:sz w:val="22"/>
                <w:szCs w:val="22"/>
              </w:rPr>
              <w:t xml:space="preserve"> percent (</w:t>
            </w:r>
            <w:r w:rsidR="004B6636">
              <w:rPr>
                <w:sz w:val="22"/>
                <w:szCs w:val="22"/>
              </w:rPr>
              <w:t>[</w:t>
            </w:r>
            <w:r w:rsidRPr="004B6636">
              <w:rPr>
                <w:sz w:val="22"/>
                <w:szCs w:val="22"/>
                <w:highlight w:val="yellow"/>
              </w:rPr>
              <w:t>10</w:t>
            </w:r>
            <w:r w:rsidR="004B6636">
              <w:rPr>
                <w:sz w:val="22"/>
                <w:szCs w:val="22"/>
              </w:rPr>
              <w:t>]</w:t>
            </w:r>
            <w:r w:rsidRPr="00F4028D">
              <w:rPr>
                <w:sz w:val="22"/>
                <w:szCs w:val="22"/>
              </w:rPr>
              <w:t>%) of the Base Rate prior to the reduction.</w:t>
            </w:r>
          </w:p>
        </w:tc>
      </w:tr>
      <w:tr w:rsidR="00F509AE" w:rsidRPr="00F4028D" w14:paraId="272C5BF2" w14:textId="77777777" w:rsidTr="00FC026A">
        <w:tc>
          <w:tcPr>
            <w:tcW w:w="2523" w:type="dxa"/>
          </w:tcPr>
          <w:p w14:paraId="5E9D2E07" w14:textId="28FB8845" w:rsidR="00F509AE" w:rsidRDefault="00F4028D" w:rsidP="00D63DE8">
            <w:pPr>
              <w:pStyle w:val="BodyText"/>
              <w:numPr>
                <w:ilvl w:val="0"/>
                <w:numId w:val="26"/>
              </w:numPr>
              <w:spacing w:before="120" w:after="120"/>
              <w:ind w:left="426" w:hanging="426"/>
              <w:jc w:val="left"/>
              <w:rPr>
                <w:b/>
                <w:sz w:val="22"/>
                <w:szCs w:val="22"/>
                <w:lang w:val="ru-RU"/>
              </w:rPr>
            </w:pPr>
            <w:r>
              <w:rPr>
                <w:b/>
                <w:sz w:val="22"/>
                <w:szCs w:val="22"/>
              </w:rPr>
              <w:t xml:space="preserve">Management Fee Offset </w:t>
            </w:r>
          </w:p>
        </w:tc>
        <w:tc>
          <w:tcPr>
            <w:tcW w:w="6614" w:type="dxa"/>
          </w:tcPr>
          <w:p w14:paraId="4EFBA66C" w14:textId="26F119AC" w:rsidR="00D978D9" w:rsidRPr="00F4028D" w:rsidRDefault="00D248E1" w:rsidP="00256B99">
            <w:pPr>
              <w:pStyle w:val="BodyText"/>
              <w:spacing w:before="120" w:after="120"/>
              <w:rPr>
                <w:sz w:val="22"/>
                <w:szCs w:val="22"/>
              </w:rPr>
            </w:pPr>
            <w:r>
              <w:rPr>
                <w:sz w:val="22"/>
                <w:szCs w:val="22"/>
              </w:rPr>
              <w:t>[</w:t>
            </w:r>
            <w:r w:rsidR="00F4028D" w:rsidRPr="00D248E1">
              <w:rPr>
                <w:sz w:val="22"/>
                <w:szCs w:val="22"/>
                <w:highlight w:val="yellow"/>
              </w:rPr>
              <w:t>One</w:t>
            </w:r>
            <w:r w:rsidR="005A741F">
              <w:rPr>
                <w:sz w:val="22"/>
                <w:szCs w:val="22"/>
                <w:highlight w:val="yellow"/>
              </w:rPr>
              <w:t>-</w:t>
            </w:r>
            <w:r w:rsidR="00F4028D" w:rsidRPr="00D248E1">
              <w:rPr>
                <w:sz w:val="22"/>
                <w:szCs w:val="22"/>
                <w:highlight w:val="yellow"/>
              </w:rPr>
              <w:t>hundred</w:t>
            </w:r>
            <w:r>
              <w:rPr>
                <w:sz w:val="22"/>
                <w:szCs w:val="22"/>
              </w:rPr>
              <w:t>]</w:t>
            </w:r>
            <w:r w:rsidR="00F4028D" w:rsidRPr="00F4028D">
              <w:rPr>
                <w:sz w:val="22"/>
                <w:szCs w:val="22"/>
              </w:rPr>
              <w:t xml:space="preserve"> percent (</w:t>
            </w:r>
            <w:r>
              <w:rPr>
                <w:sz w:val="22"/>
                <w:szCs w:val="22"/>
              </w:rPr>
              <w:t>[</w:t>
            </w:r>
            <w:r w:rsidR="00F4028D" w:rsidRPr="00D248E1">
              <w:rPr>
                <w:sz w:val="22"/>
                <w:szCs w:val="22"/>
                <w:highlight w:val="yellow"/>
              </w:rPr>
              <w:t>100</w:t>
            </w:r>
            <w:r>
              <w:rPr>
                <w:sz w:val="22"/>
                <w:szCs w:val="22"/>
              </w:rPr>
              <w:t>]</w:t>
            </w:r>
            <w:r w:rsidR="00F4028D" w:rsidRPr="00F4028D">
              <w:rPr>
                <w:sz w:val="22"/>
                <w:szCs w:val="22"/>
              </w:rPr>
              <w:t>%) of any directors’ fees, including options, warrants and other non-cash forms of compensation, any consulting fees and/or any transaction fees, closing fees or break-up fees in connection with an investment or potential investment with respect to Portfolio Companies received by the General Partner, its affiliates and/or the Principals (the “</w:t>
            </w:r>
            <w:r w:rsidR="00F4028D" w:rsidRPr="009B10CD">
              <w:rPr>
                <w:b/>
                <w:bCs/>
                <w:sz w:val="22"/>
                <w:szCs w:val="22"/>
              </w:rPr>
              <w:t>Offset Fees</w:t>
            </w:r>
            <w:r w:rsidR="00F4028D" w:rsidRPr="00F4028D">
              <w:rPr>
                <w:sz w:val="22"/>
                <w:szCs w:val="22"/>
              </w:rPr>
              <w:t>”) will be applied to reduce the Management Fees subsequently payable to the Management Company.</w:t>
            </w:r>
            <w:r w:rsidR="008475C8">
              <w:rPr>
                <w:sz w:val="22"/>
                <w:szCs w:val="22"/>
              </w:rPr>
              <w:t xml:space="preserve"> </w:t>
            </w:r>
          </w:p>
        </w:tc>
      </w:tr>
      <w:tr w:rsidR="009942C1" w:rsidRPr="00F4028D" w14:paraId="0B744C2B" w14:textId="77777777" w:rsidTr="00FC026A">
        <w:tc>
          <w:tcPr>
            <w:tcW w:w="2523" w:type="dxa"/>
          </w:tcPr>
          <w:p w14:paraId="064068FD" w14:textId="1201A5DE" w:rsidR="009942C1" w:rsidRDefault="00F4028D" w:rsidP="00D63DE8">
            <w:pPr>
              <w:pStyle w:val="BodyText"/>
              <w:numPr>
                <w:ilvl w:val="0"/>
                <w:numId w:val="26"/>
              </w:numPr>
              <w:spacing w:before="120" w:after="120"/>
              <w:ind w:left="426" w:hanging="426"/>
              <w:jc w:val="left"/>
              <w:rPr>
                <w:b/>
                <w:sz w:val="22"/>
                <w:szCs w:val="22"/>
                <w:lang w:val="ru-RU"/>
              </w:rPr>
            </w:pPr>
            <w:r>
              <w:rPr>
                <w:b/>
                <w:sz w:val="22"/>
                <w:szCs w:val="22"/>
              </w:rPr>
              <w:t>Distributions</w:t>
            </w:r>
          </w:p>
        </w:tc>
        <w:tc>
          <w:tcPr>
            <w:tcW w:w="6614" w:type="dxa"/>
          </w:tcPr>
          <w:p w14:paraId="4450C34C" w14:textId="37FB28DC" w:rsidR="00F4028D" w:rsidRPr="00F4028D" w:rsidRDefault="00F4028D" w:rsidP="00F4028D">
            <w:pPr>
              <w:pStyle w:val="BodyText"/>
              <w:spacing w:before="120" w:after="120"/>
              <w:rPr>
                <w:sz w:val="22"/>
                <w:szCs w:val="22"/>
              </w:rPr>
            </w:pPr>
            <w:r w:rsidRPr="00F4028D">
              <w:rPr>
                <w:sz w:val="22"/>
                <w:szCs w:val="22"/>
              </w:rPr>
              <w:t>The General Partner will determine, in its sole discretion, when the Fund will make distributions. The General Partner may withhold from any distributions, in its discretion, amounts for (</w:t>
            </w:r>
            <w:proofErr w:type="spellStart"/>
            <w:r w:rsidRPr="00F4028D">
              <w:rPr>
                <w:sz w:val="22"/>
                <w:szCs w:val="22"/>
              </w:rPr>
              <w:t>i</w:t>
            </w:r>
            <w:proofErr w:type="spellEnd"/>
            <w:r w:rsidRPr="00F4028D">
              <w:rPr>
                <w:sz w:val="22"/>
                <w:szCs w:val="22"/>
              </w:rPr>
              <w:t>) expenses and liabilities of the Fund, (ii) reserves for reasonably anticipated expenses and liabilities, (iii) any required tax withholdings</w:t>
            </w:r>
            <w:r w:rsidR="00A378B3">
              <w:rPr>
                <w:sz w:val="22"/>
                <w:szCs w:val="22"/>
              </w:rPr>
              <w:t>,</w:t>
            </w:r>
            <w:r w:rsidRPr="00F4028D">
              <w:rPr>
                <w:sz w:val="22"/>
                <w:szCs w:val="22"/>
              </w:rPr>
              <w:t xml:space="preserve"> and (iv) reinvestments.</w:t>
            </w:r>
          </w:p>
          <w:p w14:paraId="498EA8A7" w14:textId="3E51B522" w:rsidR="00F4028D" w:rsidRPr="00F4028D" w:rsidRDefault="00F4028D" w:rsidP="00F4028D">
            <w:pPr>
              <w:pStyle w:val="BodyText"/>
              <w:spacing w:before="120" w:after="120"/>
              <w:rPr>
                <w:sz w:val="22"/>
                <w:szCs w:val="22"/>
              </w:rPr>
            </w:pPr>
            <w:r w:rsidRPr="00F4028D">
              <w:rPr>
                <w:sz w:val="22"/>
                <w:szCs w:val="22"/>
              </w:rPr>
              <w:t>Proceeds available for distribution, other than from short-term investments (the “</w:t>
            </w:r>
            <w:r w:rsidRPr="003F068B">
              <w:rPr>
                <w:b/>
                <w:bCs/>
                <w:sz w:val="22"/>
                <w:szCs w:val="22"/>
              </w:rPr>
              <w:t>Distributable Proceeds</w:t>
            </w:r>
            <w:r w:rsidRPr="00F4028D">
              <w:rPr>
                <w:sz w:val="22"/>
                <w:szCs w:val="22"/>
              </w:rPr>
              <w:t xml:space="preserve">”), will be preliminarily </w:t>
            </w:r>
            <w:r w:rsidRPr="00F4028D">
              <w:rPr>
                <w:sz w:val="22"/>
                <w:szCs w:val="22"/>
              </w:rPr>
              <w:lastRenderedPageBreak/>
              <w:t>apportioned among the Partners pro rata according to their respective aggregate Capital Contributions in respect of the Portfolio Investment giving rise to the distributable proceeds (or in the case of amounts not associated with any Portfolio Investment in accordance with the Capital Contributions of the Partners). The amount apportioned to the General Partner will be distributed to the General Partner. The Distribution Proceeds preliminarily apportioned to each Limited Partner will be further divided between such Limited Partner and the General Partner and distributed in the following priority and manner:</w:t>
            </w:r>
          </w:p>
          <w:p w14:paraId="050C73CB" w14:textId="674C9590" w:rsidR="00F4028D" w:rsidRPr="00F4028D" w:rsidRDefault="00F4028D" w:rsidP="00060E85">
            <w:pPr>
              <w:pStyle w:val="BodyText"/>
              <w:spacing w:before="120" w:after="120"/>
              <w:ind w:left="567" w:hanging="567"/>
              <w:rPr>
                <w:sz w:val="22"/>
                <w:szCs w:val="22"/>
              </w:rPr>
            </w:pPr>
            <w:r w:rsidRPr="00F4028D">
              <w:rPr>
                <w:sz w:val="22"/>
                <w:szCs w:val="22"/>
              </w:rPr>
              <w:t>(</w:t>
            </w:r>
            <w:proofErr w:type="spellStart"/>
            <w:r w:rsidRPr="00F4028D">
              <w:rPr>
                <w:sz w:val="22"/>
                <w:szCs w:val="22"/>
              </w:rPr>
              <w:t>i</w:t>
            </w:r>
            <w:proofErr w:type="spellEnd"/>
            <w:r w:rsidRPr="00F4028D">
              <w:rPr>
                <w:sz w:val="22"/>
                <w:szCs w:val="22"/>
              </w:rPr>
              <w:t>)</w:t>
            </w:r>
            <w:r w:rsidRPr="00F4028D">
              <w:rPr>
                <w:sz w:val="22"/>
                <w:szCs w:val="22"/>
              </w:rPr>
              <w:tab/>
              <w:t xml:space="preserve">first, </w:t>
            </w:r>
            <w:r w:rsidR="00BD355F">
              <w:rPr>
                <w:sz w:val="22"/>
                <w:szCs w:val="22"/>
              </w:rPr>
              <w:t>[</w:t>
            </w:r>
            <w:r w:rsidRPr="00BD355F">
              <w:rPr>
                <w:sz w:val="22"/>
                <w:szCs w:val="22"/>
                <w:highlight w:val="yellow"/>
              </w:rPr>
              <w:t>one</w:t>
            </w:r>
            <w:r w:rsidR="00F73D18">
              <w:rPr>
                <w:sz w:val="22"/>
                <w:szCs w:val="22"/>
                <w:highlight w:val="yellow"/>
              </w:rPr>
              <w:t>-</w:t>
            </w:r>
            <w:r w:rsidRPr="00BD355F">
              <w:rPr>
                <w:sz w:val="22"/>
                <w:szCs w:val="22"/>
                <w:highlight w:val="yellow"/>
              </w:rPr>
              <w:t>hundred</w:t>
            </w:r>
            <w:r w:rsidR="00BD355F">
              <w:rPr>
                <w:sz w:val="22"/>
                <w:szCs w:val="22"/>
              </w:rPr>
              <w:t>]</w:t>
            </w:r>
            <w:r w:rsidRPr="00F4028D">
              <w:rPr>
                <w:sz w:val="22"/>
                <w:szCs w:val="22"/>
              </w:rPr>
              <w:t xml:space="preserve"> percent (</w:t>
            </w:r>
            <w:r w:rsidR="00BD355F">
              <w:rPr>
                <w:sz w:val="22"/>
                <w:szCs w:val="22"/>
              </w:rPr>
              <w:t>[</w:t>
            </w:r>
            <w:proofErr w:type="gramStart"/>
            <w:r w:rsidRPr="00BD355F">
              <w:rPr>
                <w:sz w:val="22"/>
                <w:szCs w:val="22"/>
                <w:highlight w:val="yellow"/>
              </w:rPr>
              <w:t>100</w:t>
            </w:r>
            <w:r w:rsidR="00BD355F">
              <w:rPr>
                <w:sz w:val="22"/>
                <w:szCs w:val="22"/>
              </w:rPr>
              <w:t>]</w:t>
            </w:r>
            <w:r w:rsidRPr="00F4028D">
              <w:rPr>
                <w:sz w:val="22"/>
                <w:szCs w:val="22"/>
              </w:rPr>
              <w:t>%</w:t>
            </w:r>
            <w:proofErr w:type="gramEnd"/>
            <w:r w:rsidRPr="00F4028D">
              <w:rPr>
                <w:sz w:val="22"/>
                <w:szCs w:val="22"/>
              </w:rPr>
              <w:t>) to such Limited Partner until such Limited Partner has received distributions pursuant to this clause (</w:t>
            </w:r>
            <w:proofErr w:type="spellStart"/>
            <w:r w:rsidRPr="00F4028D">
              <w:rPr>
                <w:sz w:val="22"/>
                <w:szCs w:val="22"/>
              </w:rPr>
              <w:t>i</w:t>
            </w:r>
            <w:proofErr w:type="spellEnd"/>
            <w:r w:rsidRPr="00F4028D">
              <w:rPr>
                <w:sz w:val="22"/>
                <w:szCs w:val="22"/>
              </w:rPr>
              <w:t>) equal to its Capital Contribution(s) with respect to such Portfolio Investment, unrecouped losses from Portfolio Investment(s) previously disposed of or written off and allocable expenses;</w:t>
            </w:r>
          </w:p>
          <w:p w14:paraId="2FB2E4C6" w14:textId="55869D1F" w:rsidR="00060E85" w:rsidRPr="00F4028D" w:rsidRDefault="00F4028D" w:rsidP="00060E85">
            <w:pPr>
              <w:pStyle w:val="BodyText"/>
              <w:spacing w:before="120" w:after="120"/>
              <w:ind w:left="567" w:hanging="567"/>
              <w:rPr>
                <w:sz w:val="22"/>
                <w:szCs w:val="22"/>
              </w:rPr>
            </w:pPr>
            <w:r w:rsidRPr="00F4028D">
              <w:rPr>
                <w:sz w:val="22"/>
                <w:szCs w:val="22"/>
              </w:rPr>
              <w:t>(ii)</w:t>
            </w:r>
            <w:r w:rsidRPr="00F4028D">
              <w:rPr>
                <w:sz w:val="22"/>
                <w:szCs w:val="22"/>
              </w:rPr>
              <w:tab/>
            </w:r>
            <w:r w:rsidR="003333F4">
              <w:rPr>
                <w:sz w:val="22"/>
                <w:szCs w:val="22"/>
              </w:rPr>
              <w:t xml:space="preserve">thereafter, eighty </w:t>
            </w:r>
            <w:r w:rsidR="003333F4" w:rsidRPr="003333F4">
              <w:rPr>
                <w:sz w:val="22"/>
                <w:szCs w:val="22"/>
              </w:rPr>
              <w:t>percent (80%) to the Limited Partner and twenty percent (20%) to the General Partner.</w:t>
            </w:r>
          </w:p>
          <w:p w14:paraId="70085A12" w14:textId="358F64F6" w:rsidR="009942C1" w:rsidRPr="00F4028D" w:rsidRDefault="00F4028D" w:rsidP="00F4028D">
            <w:pPr>
              <w:pStyle w:val="BodyText"/>
              <w:spacing w:before="120" w:after="120"/>
              <w:rPr>
                <w:sz w:val="22"/>
                <w:szCs w:val="22"/>
              </w:rPr>
            </w:pPr>
            <w:r w:rsidRPr="00F4028D">
              <w:rPr>
                <w:sz w:val="22"/>
                <w:szCs w:val="22"/>
              </w:rPr>
              <w:t>The amount paid to the General Partner under clause (ii) above is referred to as the General Partner’s “</w:t>
            </w:r>
            <w:r w:rsidRPr="00EA70D3">
              <w:rPr>
                <w:b/>
                <w:bCs/>
                <w:sz w:val="22"/>
                <w:szCs w:val="22"/>
              </w:rPr>
              <w:t>Carried Interest</w:t>
            </w:r>
            <w:r w:rsidRPr="00F4028D">
              <w:rPr>
                <w:sz w:val="22"/>
                <w:szCs w:val="22"/>
              </w:rPr>
              <w:t>.”</w:t>
            </w:r>
          </w:p>
        </w:tc>
      </w:tr>
      <w:tr w:rsidR="007B2454" w:rsidRPr="00A83F3F" w14:paraId="57AAF1A4" w14:textId="77777777" w:rsidTr="00FC026A">
        <w:tc>
          <w:tcPr>
            <w:tcW w:w="2523" w:type="dxa"/>
          </w:tcPr>
          <w:p w14:paraId="623D3D1C" w14:textId="4C640AAD" w:rsidR="007B2454" w:rsidRDefault="00060E85" w:rsidP="00D63DE8">
            <w:pPr>
              <w:pStyle w:val="BodyText"/>
              <w:numPr>
                <w:ilvl w:val="0"/>
                <w:numId w:val="26"/>
              </w:numPr>
              <w:spacing w:before="120" w:after="120"/>
              <w:ind w:left="426" w:hanging="426"/>
              <w:jc w:val="left"/>
              <w:rPr>
                <w:b/>
                <w:sz w:val="22"/>
                <w:szCs w:val="22"/>
                <w:lang w:val="ru-RU"/>
              </w:rPr>
            </w:pPr>
            <w:r>
              <w:rPr>
                <w:b/>
                <w:sz w:val="22"/>
                <w:szCs w:val="22"/>
              </w:rPr>
              <w:lastRenderedPageBreak/>
              <w:t>Tax Distributions</w:t>
            </w:r>
          </w:p>
        </w:tc>
        <w:tc>
          <w:tcPr>
            <w:tcW w:w="6614" w:type="dxa"/>
          </w:tcPr>
          <w:p w14:paraId="625E5335" w14:textId="7F820E64" w:rsidR="007B2454" w:rsidRPr="00060E85" w:rsidRDefault="00060E85" w:rsidP="00256B99">
            <w:pPr>
              <w:pStyle w:val="BodyText"/>
              <w:spacing w:before="120" w:after="120"/>
              <w:rPr>
                <w:sz w:val="22"/>
                <w:szCs w:val="22"/>
              </w:rPr>
            </w:pPr>
            <w:r w:rsidRPr="00060E85">
              <w:rPr>
                <w:sz w:val="22"/>
                <w:szCs w:val="22"/>
              </w:rPr>
              <w:t>The General Partner may receive cash distributions from the Fund to enable it and its members to pay any tax liabilities (including estimated tax liabilities) arising from the General Partner’s receipt of Carried Interest.</w:t>
            </w:r>
            <w:r w:rsidR="008475C8">
              <w:rPr>
                <w:sz w:val="22"/>
                <w:szCs w:val="22"/>
              </w:rPr>
              <w:t xml:space="preserve"> </w:t>
            </w:r>
            <w:r w:rsidRPr="00060E85">
              <w:rPr>
                <w:sz w:val="22"/>
                <w:szCs w:val="22"/>
              </w:rPr>
              <w:t>For purposes of determining the amount of such distribution, the General Partner may assume that the highest combined federal and state income tax rates of a member of the General Partner applies (the “</w:t>
            </w:r>
            <w:r w:rsidRPr="007372AF">
              <w:rPr>
                <w:b/>
                <w:bCs/>
                <w:sz w:val="22"/>
                <w:szCs w:val="22"/>
              </w:rPr>
              <w:t>Combined Tax Rate</w:t>
            </w:r>
            <w:r w:rsidRPr="00060E85">
              <w:rPr>
                <w:sz w:val="22"/>
                <w:szCs w:val="22"/>
              </w:rPr>
              <w:t>”). Any such distributions shall be treated as an advance of, and shall reduce, future distributions of Carried Interest to the General Partner.</w:t>
            </w:r>
          </w:p>
        </w:tc>
      </w:tr>
      <w:tr w:rsidR="00B8273A" w:rsidRPr="00060E85" w14:paraId="5242D8B0" w14:textId="77777777" w:rsidTr="00FC026A">
        <w:tc>
          <w:tcPr>
            <w:tcW w:w="2523" w:type="dxa"/>
          </w:tcPr>
          <w:p w14:paraId="2B254332" w14:textId="76D3C942" w:rsidR="00B8273A" w:rsidRDefault="00060E85" w:rsidP="00D63DE8">
            <w:pPr>
              <w:pStyle w:val="BodyText"/>
              <w:numPr>
                <w:ilvl w:val="0"/>
                <w:numId w:val="26"/>
              </w:numPr>
              <w:spacing w:before="120" w:after="120"/>
              <w:ind w:left="426" w:hanging="426"/>
              <w:jc w:val="left"/>
              <w:rPr>
                <w:b/>
                <w:sz w:val="22"/>
                <w:szCs w:val="22"/>
                <w:lang w:val="ru-RU"/>
              </w:rPr>
            </w:pPr>
            <w:r>
              <w:rPr>
                <w:b/>
                <w:sz w:val="22"/>
                <w:szCs w:val="22"/>
              </w:rPr>
              <w:t>Reinvestment</w:t>
            </w:r>
          </w:p>
        </w:tc>
        <w:tc>
          <w:tcPr>
            <w:tcW w:w="6614" w:type="dxa"/>
          </w:tcPr>
          <w:p w14:paraId="4F8F948E" w14:textId="6E2DDBE6" w:rsidR="00B8273A" w:rsidRPr="00060E85" w:rsidRDefault="00060E85" w:rsidP="00256B99">
            <w:pPr>
              <w:pStyle w:val="BodyText"/>
              <w:spacing w:before="120" w:after="120"/>
              <w:rPr>
                <w:sz w:val="22"/>
                <w:szCs w:val="22"/>
              </w:rPr>
            </w:pPr>
            <w:r w:rsidRPr="00060E85">
              <w:rPr>
                <w:sz w:val="22"/>
                <w:szCs w:val="22"/>
              </w:rPr>
              <w:t>After the disposition of a Portfolio Investment during the Investment Period, the General Partner, in consultation with the Management Company, may either (</w:t>
            </w:r>
            <w:proofErr w:type="spellStart"/>
            <w:r w:rsidRPr="00060E85">
              <w:rPr>
                <w:sz w:val="22"/>
                <w:szCs w:val="22"/>
              </w:rPr>
              <w:t>i</w:t>
            </w:r>
            <w:proofErr w:type="spellEnd"/>
            <w:r w:rsidRPr="00060E85">
              <w:rPr>
                <w:sz w:val="22"/>
                <w:szCs w:val="22"/>
              </w:rPr>
              <w:t>) reinvest (or reserve for reinvestment) or use (or reserve for later use) all or part of the Disposition Proceeds up to the cost basis of such Portfolio Investment, or (ii) distribute the Disposition Proceeds to the Partners that increase each Partner’s unfunded Capital Commitment by an amount equal to the amounts distributed to it (and such amounts will be subject to recall by the Fund for any purpose that Capital Contributions may be called).</w:t>
            </w:r>
            <w:r w:rsidR="008475C8">
              <w:rPr>
                <w:sz w:val="22"/>
                <w:szCs w:val="22"/>
              </w:rPr>
              <w:t xml:space="preserve"> </w:t>
            </w:r>
            <w:r w:rsidRPr="00060E85">
              <w:rPr>
                <w:sz w:val="22"/>
                <w:szCs w:val="22"/>
              </w:rPr>
              <w:t xml:space="preserve">Notwithstanding the foregoing, the aggregate cost basis of all Portfolio Investments made by the Fund will not exceed </w:t>
            </w:r>
            <w:r w:rsidR="00336B91">
              <w:rPr>
                <w:sz w:val="22"/>
                <w:szCs w:val="22"/>
              </w:rPr>
              <w:t>[</w:t>
            </w:r>
            <w:r w:rsidR="00336B91" w:rsidRPr="00336B91">
              <w:rPr>
                <w:sz w:val="22"/>
                <w:szCs w:val="22"/>
                <w:highlight w:val="yellow"/>
              </w:rPr>
              <w:t>one</w:t>
            </w:r>
            <w:r w:rsidR="00A13906">
              <w:rPr>
                <w:sz w:val="22"/>
                <w:szCs w:val="22"/>
                <w:highlight w:val="yellow"/>
              </w:rPr>
              <w:t>-</w:t>
            </w:r>
            <w:r w:rsidR="00336B91" w:rsidRPr="00336B91">
              <w:rPr>
                <w:sz w:val="22"/>
                <w:szCs w:val="22"/>
                <w:highlight w:val="yellow"/>
              </w:rPr>
              <w:t>hundred</w:t>
            </w:r>
            <w:r w:rsidR="00A13906">
              <w:rPr>
                <w:sz w:val="22"/>
                <w:szCs w:val="22"/>
                <w:highlight w:val="yellow"/>
              </w:rPr>
              <w:t>-</w:t>
            </w:r>
            <w:r w:rsidR="00336B91" w:rsidRPr="00336B91">
              <w:rPr>
                <w:sz w:val="22"/>
                <w:szCs w:val="22"/>
                <w:highlight w:val="yellow"/>
              </w:rPr>
              <w:t>and</w:t>
            </w:r>
            <w:r w:rsidR="00A13906">
              <w:rPr>
                <w:sz w:val="22"/>
                <w:szCs w:val="22"/>
                <w:highlight w:val="yellow"/>
              </w:rPr>
              <w:t>-</w:t>
            </w:r>
            <w:r w:rsidR="00336B91" w:rsidRPr="00336B91">
              <w:rPr>
                <w:sz w:val="22"/>
                <w:szCs w:val="22"/>
                <w:highlight w:val="yellow"/>
              </w:rPr>
              <w:t>twenty</w:t>
            </w:r>
            <w:r w:rsidR="00336B91">
              <w:rPr>
                <w:sz w:val="22"/>
                <w:szCs w:val="22"/>
              </w:rPr>
              <w:t>] percent ([</w:t>
            </w:r>
            <w:proofErr w:type="gramStart"/>
            <w:r w:rsidRPr="00336B91">
              <w:rPr>
                <w:sz w:val="22"/>
                <w:szCs w:val="22"/>
                <w:highlight w:val="yellow"/>
              </w:rPr>
              <w:t>120</w:t>
            </w:r>
            <w:r w:rsidR="00336B91">
              <w:rPr>
                <w:sz w:val="22"/>
                <w:szCs w:val="22"/>
              </w:rPr>
              <w:t>]</w:t>
            </w:r>
            <w:r w:rsidRPr="00060E85">
              <w:rPr>
                <w:sz w:val="22"/>
                <w:szCs w:val="22"/>
              </w:rPr>
              <w:t>%</w:t>
            </w:r>
            <w:proofErr w:type="gramEnd"/>
            <w:r w:rsidR="00336B91">
              <w:rPr>
                <w:sz w:val="22"/>
                <w:szCs w:val="22"/>
              </w:rPr>
              <w:t>)</w:t>
            </w:r>
            <w:r w:rsidRPr="00060E85">
              <w:rPr>
                <w:sz w:val="22"/>
                <w:szCs w:val="22"/>
              </w:rPr>
              <w:t xml:space="preserve"> of aggregate Capital Commitments.</w:t>
            </w:r>
          </w:p>
        </w:tc>
      </w:tr>
      <w:tr w:rsidR="00B8273A" w:rsidRPr="00060E85" w14:paraId="752612A4" w14:textId="77777777" w:rsidTr="00FC026A">
        <w:tc>
          <w:tcPr>
            <w:tcW w:w="2523" w:type="dxa"/>
          </w:tcPr>
          <w:p w14:paraId="7EEAA131" w14:textId="32A74E2A" w:rsidR="00B8273A" w:rsidRPr="00C17468" w:rsidRDefault="00060E85" w:rsidP="00D63DE8">
            <w:pPr>
              <w:pStyle w:val="BodyText"/>
              <w:numPr>
                <w:ilvl w:val="0"/>
                <w:numId w:val="26"/>
              </w:numPr>
              <w:spacing w:before="120" w:after="120"/>
              <w:ind w:left="426" w:hanging="426"/>
              <w:jc w:val="left"/>
              <w:rPr>
                <w:b/>
                <w:sz w:val="22"/>
                <w:szCs w:val="22"/>
                <w:lang w:val="ru-RU"/>
              </w:rPr>
            </w:pPr>
            <w:r>
              <w:rPr>
                <w:b/>
                <w:sz w:val="22"/>
                <w:szCs w:val="22"/>
              </w:rPr>
              <w:t xml:space="preserve">General Partner </w:t>
            </w:r>
            <w:proofErr w:type="spellStart"/>
            <w:r>
              <w:rPr>
                <w:b/>
                <w:sz w:val="22"/>
                <w:szCs w:val="22"/>
              </w:rPr>
              <w:t>Clawback</w:t>
            </w:r>
            <w:proofErr w:type="spellEnd"/>
          </w:p>
        </w:tc>
        <w:tc>
          <w:tcPr>
            <w:tcW w:w="6614" w:type="dxa"/>
          </w:tcPr>
          <w:p w14:paraId="0A36D8C1" w14:textId="0FBD0BF3" w:rsidR="00B8273A" w:rsidRPr="00060E85" w:rsidRDefault="00060E85" w:rsidP="00256B99">
            <w:pPr>
              <w:pStyle w:val="BodyText"/>
              <w:spacing w:before="120" w:after="120"/>
              <w:rPr>
                <w:sz w:val="22"/>
                <w:szCs w:val="22"/>
              </w:rPr>
            </w:pPr>
            <w:r w:rsidRPr="00060E85">
              <w:rPr>
                <w:sz w:val="22"/>
                <w:szCs w:val="22"/>
              </w:rPr>
              <w:t xml:space="preserve">As promptly as practicable (but not more than </w:t>
            </w:r>
            <w:r w:rsidR="008B2EA5">
              <w:rPr>
                <w:sz w:val="22"/>
                <w:szCs w:val="22"/>
              </w:rPr>
              <w:t>[</w:t>
            </w:r>
            <w:r w:rsidRPr="008B2EA5">
              <w:rPr>
                <w:sz w:val="22"/>
                <w:szCs w:val="22"/>
                <w:highlight w:val="yellow"/>
              </w:rPr>
              <w:t>ninety</w:t>
            </w:r>
            <w:r w:rsidR="008B2EA5">
              <w:rPr>
                <w:sz w:val="22"/>
                <w:szCs w:val="22"/>
              </w:rPr>
              <w:t>]</w:t>
            </w:r>
            <w:r w:rsidRPr="00060E85">
              <w:rPr>
                <w:sz w:val="22"/>
                <w:szCs w:val="22"/>
              </w:rPr>
              <w:t xml:space="preserve"> (</w:t>
            </w:r>
            <w:r w:rsidR="008B2EA5">
              <w:rPr>
                <w:sz w:val="22"/>
                <w:szCs w:val="22"/>
              </w:rPr>
              <w:t>[</w:t>
            </w:r>
            <w:r w:rsidRPr="008B2EA5">
              <w:rPr>
                <w:sz w:val="22"/>
                <w:szCs w:val="22"/>
                <w:highlight w:val="yellow"/>
              </w:rPr>
              <w:t>90</w:t>
            </w:r>
            <w:r w:rsidR="008B2EA5">
              <w:rPr>
                <w:sz w:val="22"/>
                <w:szCs w:val="22"/>
              </w:rPr>
              <w:t>]</w:t>
            </w:r>
            <w:r w:rsidRPr="00060E85">
              <w:rPr>
                <w:sz w:val="22"/>
                <w:szCs w:val="22"/>
              </w:rPr>
              <w:t>) days) after the Fund’s final liquidating distribution, the General Partner will determine whether there was an Over Distribution. An “</w:t>
            </w:r>
            <w:r w:rsidRPr="00700D05">
              <w:rPr>
                <w:b/>
                <w:bCs/>
                <w:sz w:val="22"/>
                <w:szCs w:val="22"/>
              </w:rPr>
              <w:t>Over Distribution</w:t>
            </w:r>
            <w:r w:rsidRPr="00060E85">
              <w:rPr>
                <w:sz w:val="22"/>
                <w:szCs w:val="22"/>
              </w:rPr>
              <w:t xml:space="preserve">” means the positive amount determined by </w:t>
            </w:r>
            <w:r w:rsidRPr="009A4DE9">
              <w:rPr>
                <w:i/>
                <w:iCs/>
                <w:sz w:val="22"/>
                <w:szCs w:val="22"/>
              </w:rPr>
              <w:t>subtracting</w:t>
            </w:r>
            <w:r w:rsidRPr="00060E85">
              <w:rPr>
                <w:sz w:val="22"/>
                <w:szCs w:val="22"/>
              </w:rPr>
              <w:t xml:space="preserve"> (</w:t>
            </w:r>
            <w:proofErr w:type="spellStart"/>
            <w:r w:rsidRPr="00060E85">
              <w:rPr>
                <w:sz w:val="22"/>
                <w:szCs w:val="22"/>
              </w:rPr>
              <w:t>i</w:t>
            </w:r>
            <w:proofErr w:type="spellEnd"/>
            <w:r w:rsidRPr="00060E85">
              <w:rPr>
                <w:sz w:val="22"/>
                <w:szCs w:val="22"/>
              </w:rPr>
              <w:t xml:space="preserve">) the cumulative distributions that would have been received by the General Partner as Carried Interest determined as if the Fund retained all of the Fund’s distributions to the Partners since inception and made a single distribution to the Partners on the date of the Fund’s final liquidating distribution, </w:t>
            </w:r>
            <w:r w:rsidRPr="006466AB">
              <w:rPr>
                <w:i/>
                <w:iCs/>
                <w:sz w:val="22"/>
                <w:szCs w:val="22"/>
              </w:rPr>
              <w:t>from</w:t>
            </w:r>
            <w:r w:rsidRPr="00060E85">
              <w:rPr>
                <w:sz w:val="22"/>
                <w:szCs w:val="22"/>
              </w:rPr>
              <w:t xml:space="preserve"> (ii) the cumulative distributions that the General Partner actually received as Carried Interest over the Fund’s </w:t>
            </w:r>
            <w:r w:rsidRPr="00060E85">
              <w:rPr>
                <w:sz w:val="22"/>
                <w:szCs w:val="22"/>
              </w:rPr>
              <w:lastRenderedPageBreak/>
              <w:t>term.</w:t>
            </w:r>
            <w:r w:rsidR="008475C8">
              <w:rPr>
                <w:sz w:val="22"/>
                <w:szCs w:val="22"/>
              </w:rPr>
              <w:t xml:space="preserve"> </w:t>
            </w:r>
            <w:r w:rsidRPr="00060E85">
              <w:rPr>
                <w:sz w:val="22"/>
                <w:szCs w:val="22"/>
              </w:rPr>
              <w:t xml:space="preserve">In the event there is an Over Distribution, the General Partner shall contribute to the Fund for distribution to all Limited Partners pro rata the amount of the Over Distribution; provided, that in no event shall the General Partner be required to return an amount greater than the Carried Interest distributions </w:t>
            </w:r>
            <w:proofErr w:type="gramStart"/>
            <w:r w:rsidRPr="00060E85">
              <w:rPr>
                <w:sz w:val="22"/>
                <w:szCs w:val="22"/>
              </w:rPr>
              <w:t>actually received</w:t>
            </w:r>
            <w:proofErr w:type="gramEnd"/>
            <w:r w:rsidRPr="00060E85">
              <w:rPr>
                <w:sz w:val="22"/>
                <w:szCs w:val="22"/>
              </w:rPr>
              <w:t xml:space="preserve"> by the General Partner, net of taxes thereon (adjusted for any tax benefit the General Partner receives for making such contribution).</w:t>
            </w:r>
          </w:p>
        </w:tc>
      </w:tr>
      <w:tr w:rsidR="007B2454" w:rsidRPr="009B3C89" w14:paraId="025223CA" w14:textId="77777777" w:rsidTr="00FC026A">
        <w:tc>
          <w:tcPr>
            <w:tcW w:w="2523" w:type="dxa"/>
          </w:tcPr>
          <w:p w14:paraId="2FA4D4DB" w14:textId="0DD5C30E" w:rsidR="007B2454" w:rsidRDefault="00060E85" w:rsidP="00D63DE8">
            <w:pPr>
              <w:pStyle w:val="BodyText"/>
              <w:numPr>
                <w:ilvl w:val="0"/>
                <w:numId w:val="26"/>
              </w:numPr>
              <w:spacing w:before="120" w:after="120"/>
              <w:ind w:left="426" w:hanging="426"/>
              <w:jc w:val="left"/>
              <w:rPr>
                <w:b/>
                <w:sz w:val="22"/>
                <w:szCs w:val="22"/>
                <w:lang w:val="ru-RU"/>
              </w:rPr>
            </w:pPr>
            <w:r>
              <w:rPr>
                <w:b/>
                <w:sz w:val="22"/>
                <w:szCs w:val="22"/>
              </w:rPr>
              <w:lastRenderedPageBreak/>
              <w:t>Return of Distributions</w:t>
            </w:r>
          </w:p>
        </w:tc>
        <w:tc>
          <w:tcPr>
            <w:tcW w:w="6614" w:type="dxa"/>
          </w:tcPr>
          <w:p w14:paraId="61869013" w14:textId="1E91BA30" w:rsidR="007B2454" w:rsidRPr="00060E85" w:rsidRDefault="00060E85" w:rsidP="00256B99">
            <w:pPr>
              <w:pStyle w:val="BodyText"/>
              <w:spacing w:before="120" w:after="120"/>
              <w:rPr>
                <w:sz w:val="22"/>
                <w:szCs w:val="22"/>
              </w:rPr>
            </w:pPr>
            <w:r w:rsidRPr="00060E85">
              <w:rPr>
                <w:sz w:val="22"/>
                <w:szCs w:val="22"/>
              </w:rPr>
              <w:t>If the Fund incurs any liability and the amount of reserves and the unfunded Capital Commitments are less than the amount of such liability, the General Partner may require the Partners to return distributions to the Fund in an amount sufficient to satisfy all or any portion of such liability; provided, that (</w:t>
            </w:r>
            <w:proofErr w:type="spellStart"/>
            <w:r w:rsidRPr="00060E85">
              <w:rPr>
                <w:sz w:val="22"/>
                <w:szCs w:val="22"/>
              </w:rPr>
              <w:t>i</w:t>
            </w:r>
            <w:proofErr w:type="spellEnd"/>
            <w:r w:rsidRPr="00060E85">
              <w:rPr>
                <w:sz w:val="22"/>
                <w:szCs w:val="22"/>
              </w:rPr>
              <w:t xml:space="preserve">) no distribution may be recalled following the </w:t>
            </w:r>
            <w:r w:rsidR="004D6C30">
              <w:rPr>
                <w:sz w:val="22"/>
                <w:szCs w:val="22"/>
              </w:rPr>
              <w:t>[</w:t>
            </w:r>
            <w:r w:rsidRPr="004D6C30">
              <w:rPr>
                <w:sz w:val="22"/>
                <w:szCs w:val="22"/>
                <w:highlight w:val="yellow"/>
              </w:rPr>
              <w:t>second</w:t>
            </w:r>
            <w:r w:rsidR="004D6C30">
              <w:rPr>
                <w:sz w:val="22"/>
                <w:szCs w:val="22"/>
              </w:rPr>
              <w:t>]</w:t>
            </w:r>
            <w:r w:rsidRPr="00060E85">
              <w:rPr>
                <w:sz w:val="22"/>
                <w:szCs w:val="22"/>
              </w:rPr>
              <w:t xml:space="preserve"> anniversary of the Fund’s dissolution (except in respect of pending obligations or liabilities), and (ii) the total amount recalled from any Partner shall not exceed the lesser of (</w:t>
            </w:r>
            <w:r w:rsidR="001607A3">
              <w:rPr>
                <w:sz w:val="22"/>
                <w:szCs w:val="22"/>
              </w:rPr>
              <w:t>a</w:t>
            </w:r>
            <w:r w:rsidRPr="00060E85">
              <w:rPr>
                <w:sz w:val="22"/>
                <w:szCs w:val="22"/>
              </w:rPr>
              <w:t>) such Partner’s Capital Commitment and (</w:t>
            </w:r>
            <w:r w:rsidR="001607A3">
              <w:rPr>
                <w:sz w:val="22"/>
                <w:szCs w:val="22"/>
              </w:rPr>
              <w:t>b</w:t>
            </w:r>
            <w:r w:rsidRPr="00060E85">
              <w:rPr>
                <w:sz w:val="22"/>
                <w:szCs w:val="22"/>
              </w:rPr>
              <w:t xml:space="preserve">) </w:t>
            </w:r>
            <w:r w:rsidR="001607A3">
              <w:rPr>
                <w:sz w:val="22"/>
                <w:szCs w:val="22"/>
              </w:rPr>
              <w:t>[</w:t>
            </w:r>
            <w:r w:rsidRPr="001607A3">
              <w:rPr>
                <w:sz w:val="22"/>
                <w:szCs w:val="22"/>
                <w:highlight w:val="yellow"/>
              </w:rPr>
              <w:t>twenty-five</w:t>
            </w:r>
            <w:r w:rsidR="001607A3">
              <w:rPr>
                <w:sz w:val="22"/>
                <w:szCs w:val="22"/>
              </w:rPr>
              <w:t>]</w:t>
            </w:r>
            <w:r w:rsidRPr="00060E85">
              <w:rPr>
                <w:sz w:val="22"/>
                <w:szCs w:val="22"/>
              </w:rPr>
              <w:t xml:space="preserve"> percent (</w:t>
            </w:r>
            <w:r w:rsidR="00775142">
              <w:rPr>
                <w:sz w:val="22"/>
                <w:szCs w:val="22"/>
              </w:rPr>
              <w:t>[</w:t>
            </w:r>
            <w:r w:rsidRPr="00775142">
              <w:rPr>
                <w:sz w:val="22"/>
                <w:szCs w:val="22"/>
                <w:highlight w:val="yellow"/>
              </w:rPr>
              <w:t>25</w:t>
            </w:r>
            <w:r w:rsidR="00775142">
              <w:rPr>
                <w:sz w:val="22"/>
                <w:szCs w:val="22"/>
              </w:rPr>
              <w:t>]</w:t>
            </w:r>
            <w:r w:rsidRPr="00060E85">
              <w:rPr>
                <w:sz w:val="22"/>
                <w:szCs w:val="22"/>
              </w:rPr>
              <w:t>%) of the aggregate amount of distributions made to such Partner from the Fund.</w:t>
            </w:r>
          </w:p>
        </w:tc>
      </w:tr>
      <w:tr w:rsidR="00491FD8" w:rsidRPr="00060E85" w14:paraId="31FBA42B" w14:textId="77777777" w:rsidTr="00FC026A">
        <w:tc>
          <w:tcPr>
            <w:tcW w:w="2523" w:type="dxa"/>
          </w:tcPr>
          <w:p w14:paraId="4A496E21" w14:textId="7440084D" w:rsidR="00491FD8" w:rsidRPr="00E130BD" w:rsidRDefault="00060E85" w:rsidP="00D63DE8">
            <w:pPr>
              <w:pStyle w:val="BodyText"/>
              <w:numPr>
                <w:ilvl w:val="0"/>
                <w:numId w:val="26"/>
              </w:numPr>
              <w:spacing w:before="120" w:after="120"/>
              <w:ind w:left="426" w:hanging="426"/>
              <w:jc w:val="left"/>
              <w:rPr>
                <w:b/>
                <w:sz w:val="22"/>
                <w:szCs w:val="22"/>
                <w:lang w:val="ru-RU"/>
              </w:rPr>
            </w:pPr>
            <w:r>
              <w:rPr>
                <w:b/>
                <w:sz w:val="22"/>
                <w:szCs w:val="22"/>
              </w:rPr>
              <w:t>Key Persons</w:t>
            </w:r>
          </w:p>
        </w:tc>
        <w:tc>
          <w:tcPr>
            <w:tcW w:w="6614" w:type="dxa"/>
          </w:tcPr>
          <w:p w14:paraId="70403268" w14:textId="7276237A" w:rsidR="00060E85" w:rsidRPr="00060E85" w:rsidRDefault="00060E85" w:rsidP="00060E85">
            <w:pPr>
              <w:pStyle w:val="BodyText"/>
              <w:spacing w:before="120" w:after="120"/>
              <w:rPr>
                <w:sz w:val="22"/>
                <w:szCs w:val="22"/>
              </w:rPr>
            </w:pPr>
            <w:r w:rsidRPr="00060E85">
              <w:rPr>
                <w:sz w:val="22"/>
                <w:szCs w:val="22"/>
              </w:rPr>
              <w:t xml:space="preserve">If, during the Investment Period, </w:t>
            </w:r>
            <w:r w:rsidR="00775142">
              <w:rPr>
                <w:sz w:val="22"/>
                <w:szCs w:val="22"/>
              </w:rPr>
              <w:t>[</w:t>
            </w:r>
            <w:r w:rsidRPr="00775142">
              <w:rPr>
                <w:sz w:val="22"/>
                <w:szCs w:val="22"/>
                <w:highlight w:val="yellow"/>
              </w:rPr>
              <w:t>one</w:t>
            </w:r>
            <w:r w:rsidR="00775142">
              <w:rPr>
                <w:sz w:val="22"/>
                <w:szCs w:val="22"/>
              </w:rPr>
              <w:t>]</w:t>
            </w:r>
            <w:r w:rsidRPr="00060E85">
              <w:rPr>
                <w:sz w:val="22"/>
                <w:szCs w:val="22"/>
              </w:rPr>
              <w:t xml:space="preserve"> (</w:t>
            </w:r>
            <w:r w:rsidR="004A4985">
              <w:rPr>
                <w:sz w:val="22"/>
                <w:szCs w:val="22"/>
              </w:rPr>
              <w:t>[</w:t>
            </w:r>
            <w:r w:rsidRPr="004A4985">
              <w:rPr>
                <w:sz w:val="22"/>
                <w:szCs w:val="22"/>
                <w:highlight w:val="yellow"/>
              </w:rPr>
              <w:t>1</w:t>
            </w:r>
            <w:r w:rsidR="004A4985">
              <w:rPr>
                <w:sz w:val="22"/>
                <w:szCs w:val="22"/>
              </w:rPr>
              <w:t>]</w:t>
            </w:r>
            <w:r w:rsidRPr="00060E85">
              <w:rPr>
                <w:sz w:val="22"/>
                <w:szCs w:val="22"/>
              </w:rPr>
              <w:t xml:space="preserve">) of the </w:t>
            </w:r>
            <w:r w:rsidR="004A4985">
              <w:rPr>
                <w:sz w:val="22"/>
                <w:szCs w:val="22"/>
              </w:rPr>
              <w:t>[</w:t>
            </w:r>
            <w:r w:rsidRPr="004A4985">
              <w:rPr>
                <w:sz w:val="22"/>
                <w:szCs w:val="22"/>
                <w:highlight w:val="yellow"/>
              </w:rPr>
              <w:t>two</w:t>
            </w:r>
            <w:r w:rsidR="004A4985">
              <w:rPr>
                <w:sz w:val="22"/>
                <w:szCs w:val="22"/>
              </w:rPr>
              <w:t>]</w:t>
            </w:r>
            <w:r w:rsidRPr="00060E85">
              <w:rPr>
                <w:sz w:val="22"/>
                <w:szCs w:val="22"/>
              </w:rPr>
              <w:t xml:space="preserve"> (</w:t>
            </w:r>
            <w:r w:rsidR="004A4985">
              <w:rPr>
                <w:sz w:val="22"/>
                <w:szCs w:val="22"/>
              </w:rPr>
              <w:t>[</w:t>
            </w:r>
            <w:r w:rsidRPr="004A4985">
              <w:rPr>
                <w:sz w:val="22"/>
                <w:szCs w:val="22"/>
                <w:highlight w:val="yellow"/>
              </w:rPr>
              <w:t>2</w:t>
            </w:r>
            <w:r w:rsidR="004A4985">
              <w:rPr>
                <w:sz w:val="22"/>
                <w:szCs w:val="22"/>
              </w:rPr>
              <w:t>]</w:t>
            </w:r>
            <w:r w:rsidRPr="00060E85">
              <w:rPr>
                <w:sz w:val="22"/>
                <w:szCs w:val="22"/>
              </w:rPr>
              <w:t>) Principals (</w:t>
            </w:r>
            <w:proofErr w:type="spellStart"/>
            <w:r w:rsidRPr="00060E85">
              <w:rPr>
                <w:sz w:val="22"/>
                <w:szCs w:val="22"/>
              </w:rPr>
              <w:t>i</w:t>
            </w:r>
            <w:proofErr w:type="spellEnd"/>
            <w:r w:rsidRPr="00060E85">
              <w:rPr>
                <w:sz w:val="22"/>
                <w:szCs w:val="22"/>
              </w:rPr>
              <w:t xml:space="preserve">) transfer more than </w:t>
            </w:r>
            <w:r w:rsidR="004A4985">
              <w:rPr>
                <w:sz w:val="22"/>
                <w:szCs w:val="22"/>
              </w:rPr>
              <w:t>[</w:t>
            </w:r>
            <w:r w:rsidRPr="004A4985">
              <w:rPr>
                <w:sz w:val="22"/>
                <w:szCs w:val="22"/>
                <w:highlight w:val="yellow"/>
              </w:rPr>
              <w:t>fifty</w:t>
            </w:r>
            <w:r w:rsidR="004A4985">
              <w:rPr>
                <w:sz w:val="22"/>
                <w:szCs w:val="22"/>
              </w:rPr>
              <w:t>]</w:t>
            </w:r>
            <w:r w:rsidRPr="00060E85">
              <w:rPr>
                <w:sz w:val="22"/>
                <w:szCs w:val="22"/>
              </w:rPr>
              <w:t xml:space="preserve"> percent (</w:t>
            </w:r>
            <w:r w:rsidR="004A4985">
              <w:rPr>
                <w:sz w:val="22"/>
                <w:szCs w:val="22"/>
              </w:rPr>
              <w:t>[</w:t>
            </w:r>
            <w:r w:rsidRPr="004A4985">
              <w:rPr>
                <w:sz w:val="22"/>
                <w:szCs w:val="22"/>
                <w:highlight w:val="yellow"/>
              </w:rPr>
              <w:t>50</w:t>
            </w:r>
            <w:r w:rsidR="004A4985">
              <w:rPr>
                <w:sz w:val="22"/>
                <w:szCs w:val="22"/>
              </w:rPr>
              <w:t>]</w:t>
            </w:r>
            <w:r w:rsidRPr="00060E85">
              <w:rPr>
                <w:sz w:val="22"/>
                <w:szCs w:val="22"/>
              </w:rPr>
              <w:t xml:space="preserve">%) of his or her interest in the General Partner to a third party or (ii) cease to be actively involved in the day-to-day management of the Fund for a period of </w:t>
            </w:r>
            <w:r w:rsidR="00F64506">
              <w:rPr>
                <w:sz w:val="22"/>
                <w:szCs w:val="22"/>
              </w:rPr>
              <w:t>[</w:t>
            </w:r>
            <w:r w:rsidRPr="00F64506">
              <w:rPr>
                <w:sz w:val="22"/>
                <w:szCs w:val="22"/>
                <w:highlight w:val="yellow"/>
              </w:rPr>
              <w:t>one hundred and eighty</w:t>
            </w:r>
            <w:r w:rsidR="00F64506">
              <w:rPr>
                <w:sz w:val="22"/>
                <w:szCs w:val="22"/>
              </w:rPr>
              <w:t>]</w:t>
            </w:r>
            <w:r w:rsidRPr="00060E85">
              <w:rPr>
                <w:sz w:val="22"/>
                <w:szCs w:val="22"/>
              </w:rPr>
              <w:t xml:space="preserve"> (</w:t>
            </w:r>
            <w:r w:rsidR="00F64506">
              <w:rPr>
                <w:sz w:val="22"/>
                <w:szCs w:val="22"/>
              </w:rPr>
              <w:t>[</w:t>
            </w:r>
            <w:r w:rsidRPr="00F64506">
              <w:rPr>
                <w:sz w:val="22"/>
                <w:szCs w:val="22"/>
                <w:highlight w:val="yellow"/>
              </w:rPr>
              <w:t>180</w:t>
            </w:r>
            <w:r w:rsidR="00F64506">
              <w:rPr>
                <w:sz w:val="22"/>
                <w:szCs w:val="22"/>
              </w:rPr>
              <w:t>]</w:t>
            </w:r>
            <w:r w:rsidRPr="00060E85">
              <w:rPr>
                <w:sz w:val="22"/>
                <w:szCs w:val="22"/>
              </w:rPr>
              <w:t>) consecutive days, a “</w:t>
            </w:r>
            <w:r w:rsidRPr="00F64506">
              <w:rPr>
                <w:b/>
                <w:bCs/>
                <w:sz w:val="22"/>
                <w:szCs w:val="22"/>
              </w:rPr>
              <w:t>Key Person Event</w:t>
            </w:r>
            <w:r w:rsidRPr="00060E85">
              <w:rPr>
                <w:sz w:val="22"/>
                <w:szCs w:val="22"/>
              </w:rPr>
              <w:t>” shall be deemed to occur.</w:t>
            </w:r>
          </w:p>
          <w:p w14:paraId="69DAB352" w14:textId="77777777" w:rsidR="00060E85" w:rsidRPr="00060E85" w:rsidRDefault="00060E85" w:rsidP="00060E85">
            <w:pPr>
              <w:pStyle w:val="BodyText"/>
              <w:spacing w:before="120" w:after="120"/>
              <w:rPr>
                <w:sz w:val="22"/>
                <w:szCs w:val="22"/>
              </w:rPr>
            </w:pPr>
            <w:proofErr w:type="gramStart"/>
            <w:r w:rsidRPr="00060E85">
              <w:rPr>
                <w:sz w:val="22"/>
                <w:szCs w:val="22"/>
              </w:rPr>
              <w:t>In the event that</w:t>
            </w:r>
            <w:proofErr w:type="gramEnd"/>
            <w:r w:rsidRPr="00060E85">
              <w:rPr>
                <w:sz w:val="22"/>
                <w:szCs w:val="22"/>
              </w:rPr>
              <w:t xml:space="preserve"> a Key Person Event is deemed to occur, the Investment Period shall be suspended (“</w:t>
            </w:r>
            <w:r w:rsidRPr="001805E5">
              <w:rPr>
                <w:b/>
                <w:bCs/>
                <w:sz w:val="22"/>
                <w:szCs w:val="22"/>
              </w:rPr>
              <w:t>Suspension</w:t>
            </w:r>
            <w:r w:rsidRPr="00060E85">
              <w:rPr>
                <w:sz w:val="22"/>
                <w:szCs w:val="22"/>
              </w:rPr>
              <w:t>”) and the Fund may not make any new investments, other than (</w:t>
            </w:r>
            <w:proofErr w:type="spellStart"/>
            <w:r w:rsidRPr="00060E85">
              <w:rPr>
                <w:sz w:val="22"/>
                <w:szCs w:val="22"/>
              </w:rPr>
              <w:t>i</w:t>
            </w:r>
            <w:proofErr w:type="spellEnd"/>
            <w:r w:rsidRPr="00060E85">
              <w:rPr>
                <w:sz w:val="22"/>
                <w:szCs w:val="22"/>
              </w:rPr>
              <w:t>) Follow-On Investments that are approved by the Advisory Committee (as defined below) or a majority in interest of the Limited Partners, or (ii) Follow-Up Investments existing prior to the Key Person Event.</w:t>
            </w:r>
          </w:p>
          <w:p w14:paraId="7E12CAD1" w14:textId="7CED0214" w:rsidR="00491FD8" w:rsidRPr="00060E85" w:rsidRDefault="00060E85" w:rsidP="00060E85">
            <w:pPr>
              <w:pStyle w:val="BodyText"/>
              <w:spacing w:before="120" w:after="120"/>
              <w:rPr>
                <w:sz w:val="22"/>
                <w:szCs w:val="22"/>
              </w:rPr>
            </w:pPr>
            <w:r w:rsidRPr="00060E85">
              <w:rPr>
                <w:sz w:val="22"/>
                <w:szCs w:val="22"/>
              </w:rPr>
              <w:t xml:space="preserve">Upon the commencement of a Suspension, the Advisory </w:t>
            </w:r>
            <w:proofErr w:type="gramStart"/>
            <w:r w:rsidRPr="00060E85">
              <w:rPr>
                <w:sz w:val="22"/>
                <w:szCs w:val="22"/>
              </w:rPr>
              <w:t>Committee</w:t>
            </w:r>
            <w:proofErr w:type="gramEnd"/>
            <w:r w:rsidRPr="00060E85">
              <w:rPr>
                <w:sz w:val="22"/>
                <w:szCs w:val="22"/>
              </w:rPr>
              <w:t xml:space="preserve"> or a majority in interest of the Limited Partners will have </w:t>
            </w:r>
            <w:r w:rsidR="004F5640">
              <w:rPr>
                <w:sz w:val="22"/>
                <w:szCs w:val="22"/>
              </w:rPr>
              <w:t>[</w:t>
            </w:r>
            <w:r w:rsidRPr="004F5640">
              <w:rPr>
                <w:sz w:val="22"/>
                <w:szCs w:val="22"/>
                <w:highlight w:val="yellow"/>
              </w:rPr>
              <w:t>thirty</w:t>
            </w:r>
            <w:r w:rsidR="004F5640">
              <w:rPr>
                <w:sz w:val="22"/>
                <w:szCs w:val="22"/>
              </w:rPr>
              <w:t>]</w:t>
            </w:r>
            <w:r w:rsidRPr="00060E85">
              <w:rPr>
                <w:sz w:val="22"/>
                <w:szCs w:val="22"/>
              </w:rPr>
              <w:t xml:space="preserve"> (</w:t>
            </w:r>
            <w:r w:rsidR="004F5640">
              <w:rPr>
                <w:sz w:val="22"/>
                <w:szCs w:val="22"/>
              </w:rPr>
              <w:t>[</w:t>
            </w:r>
            <w:r w:rsidRPr="004F5640">
              <w:rPr>
                <w:sz w:val="22"/>
                <w:szCs w:val="22"/>
                <w:highlight w:val="yellow"/>
              </w:rPr>
              <w:t>30</w:t>
            </w:r>
            <w:r w:rsidR="004F5640">
              <w:rPr>
                <w:sz w:val="22"/>
                <w:szCs w:val="22"/>
              </w:rPr>
              <w:t>]</w:t>
            </w:r>
            <w:r w:rsidRPr="00060E85">
              <w:rPr>
                <w:sz w:val="22"/>
                <w:szCs w:val="22"/>
              </w:rPr>
              <w:t xml:space="preserve">) days to approve replacement Principals, which would end the Suspension. If the Advisory Committee or a majority in interest of the Limited Partners does not approve of the replacement Principals within </w:t>
            </w:r>
            <w:r w:rsidR="00CC664C">
              <w:rPr>
                <w:sz w:val="22"/>
                <w:szCs w:val="22"/>
              </w:rPr>
              <w:t>[</w:t>
            </w:r>
            <w:r w:rsidRPr="00CC664C">
              <w:rPr>
                <w:sz w:val="22"/>
                <w:szCs w:val="22"/>
                <w:highlight w:val="yellow"/>
              </w:rPr>
              <w:t>thirty</w:t>
            </w:r>
            <w:r w:rsidR="00CC664C">
              <w:rPr>
                <w:sz w:val="22"/>
                <w:szCs w:val="22"/>
              </w:rPr>
              <w:t>]</w:t>
            </w:r>
            <w:r w:rsidRPr="00060E85">
              <w:rPr>
                <w:sz w:val="22"/>
                <w:szCs w:val="22"/>
              </w:rPr>
              <w:t xml:space="preserve"> (</w:t>
            </w:r>
            <w:r w:rsidR="00CC664C">
              <w:rPr>
                <w:sz w:val="22"/>
                <w:szCs w:val="22"/>
              </w:rPr>
              <w:t>[</w:t>
            </w:r>
            <w:r w:rsidRPr="00CC664C">
              <w:rPr>
                <w:sz w:val="22"/>
                <w:szCs w:val="22"/>
                <w:highlight w:val="yellow"/>
              </w:rPr>
              <w:t>30</w:t>
            </w:r>
            <w:r w:rsidR="00CC664C">
              <w:rPr>
                <w:sz w:val="22"/>
                <w:szCs w:val="22"/>
              </w:rPr>
              <w:t>]</w:t>
            </w:r>
            <w:r w:rsidRPr="00060E85">
              <w:rPr>
                <w:sz w:val="22"/>
                <w:szCs w:val="22"/>
              </w:rPr>
              <w:t xml:space="preserve">) days, then the Limited Partners representing at least </w:t>
            </w:r>
            <w:r w:rsidR="00CC664C">
              <w:rPr>
                <w:sz w:val="22"/>
                <w:szCs w:val="22"/>
              </w:rPr>
              <w:t>[</w:t>
            </w:r>
            <w:r w:rsidRPr="00CC664C">
              <w:rPr>
                <w:sz w:val="22"/>
                <w:szCs w:val="22"/>
                <w:highlight w:val="yellow"/>
              </w:rPr>
              <w:t>seventy-five</w:t>
            </w:r>
            <w:r w:rsidR="00CC664C">
              <w:rPr>
                <w:sz w:val="22"/>
                <w:szCs w:val="22"/>
              </w:rPr>
              <w:t>]</w:t>
            </w:r>
            <w:r w:rsidRPr="00060E85">
              <w:rPr>
                <w:sz w:val="22"/>
                <w:szCs w:val="22"/>
              </w:rPr>
              <w:t xml:space="preserve"> percent (</w:t>
            </w:r>
            <w:r w:rsidR="00CC664C">
              <w:rPr>
                <w:sz w:val="22"/>
                <w:szCs w:val="22"/>
              </w:rPr>
              <w:t>[</w:t>
            </w:r>
            <w:r w:rsidRPr="00CC664C">
              <w:rPr>
                <w:sz w:val="22"/>
                <w:szCs w:val="22"/>
                <w:highlight w:val="yellow"/>
              </w:rPr>
              <w:t>75</w:t>
            </w:r>
            <w:r w:rsidR="00CC664C">
              <w:rPr>
                <w:sz w:val="22"/>
                <w:szCs w:val="22"/>
              </w:rPr>
              <w:t>]</w:t>
            </w:r>
            <w:r w:rsidRPr="00060E85">
              <w:rPr>
                <w:sz w:val="22"/>
                <w:szCs w:val="22"/>
              </w:rPr>
              <w:t xml:space="preserve">%) in interest of the Limited Partners may, within the following </w:t>
            </w:r>
            <w:r w:rsidR="00CC664C">
              <w:rPr>
                <w:sz w:val="22"/>
                <w:szCs w:val="22"/>
              </w:rPr>
              <w:t>[</w:t>
            </w:r>
            <w:r w:rsidRPr="00CC664C">
              <w:rPr>
                <w:sz w:val="22"/>
                <w:szCs w:val="22"/>
                <w:highlight w:val="yellow"/>
              </w:rPr>
              <w:t>sixty</w:t>
            </w:r>
            <w:r w:rsidR="00CC664C">
              <w:rPr>
                <w:sz w:val="22"/>
                <w:szCs w:val="22"/>
              </w:rPr>
              <w:t>]</w:t>
            </w:r>
            <w:r w:rsidRPr="00060E85">
              <w:rPr>
                <w:sz w:val="22"/>
                <w:szCs w:val="22"/>
              </w:rPr>
              <w:t xml:space="preserve"> (</w:t>
            </w:r>
            <w:r w:rsidR="00CC664C">
              <w:rPr>
                <w:sz w:val="22"/>
                <w:szCs w:val="22"/>
              </w:rPr>
              <w:t>[</w:t>
            </w:r>
            <w:r w:rsidRPr="00CC664C">
              <w:rPr>
                <w:sz w:val="22"/>
                <w:szCs w:val="22"/>
                <w:highlight w:val="yellow"/>
              </w:rPr>
              <w:t>60</w:t>
            </w:r>
            <w:r w:rsidR="00CC664C">
              <w:rPr>
                <w:sz w:val="22"/>
                <w:szCs w:val="22"/>
              </w:rPr>
              <w:t>]</w:t>
            </w:r>
            <w:r w:rsidRPr="00060E85">
              <w:rPr>
                <w:sz w:val="22"/>
                <w:szCs w:val="22"/>
              </w:rPr>
              <w:t xml:space="preserve">) days, remove the General Partner as the general partner of the Fund upon </w:t>
            </w:r>
            <w:r w:rsidR="00055DD6">
              <w:rPr>
                <w:sz w:val="22"/>
                <w:szCs w:val="22"/>
              </w:rPr>
              <w:t>[</w:t>
            </w:r>
            <w:r w:rsidRPr="00055DD6">
              <w:rPr>
                <w:sz w:val="22"/>
                <w:szCs w:val="22"/>
                <w:highlight w:val="yellow"/>
              </w:rPr>
              <w:t>sixty</w:t>
            </w:r>
            <w:r w:rsidR="00055DD6">
              <w:rPr>
                <w:sz w:val="22"/>
                <w:szCs w:val="22"/>
              </w:rPr>
              <w:t>]</w:t>
            </w:r>
            <w:r w:rsidRPr="00060E85">
              <w:rPr>
                <w:sz w:val="22"/>
                <w:szCs w:val="22"/>
              </w:rPr>
              <w:t xml:space="preserve"> (</w:t>
            </w:r>
            <w:r w:rsidR="00055DD6">
              <w:rPr>
                <w:sz w:val="22"/>
                <w:szCs w:val="22"/>
              </w:rPr>
              <w:t>[</w:t>
            </w:r>
            <w:r w:rsidRPr="00055DD6">
              <w:rPr>
                <w:sz w:val="22"/>
                <w:szCs w:val="22"/>
                <w:highlight w:val="yellow"/>
              </w:rPr>
              <w:t>60</w:t>
            </w:r>
            <w:r w:rsidR="00055DD6">
              <w:rPr>
                <w:sz w:val="22"/>
                <w:szCs w:val="22"/>
              </w:rPr>
              <w:t>]</w:t>
            </w:r>
            <w:r w:rsidRPr="00060E85">
              <w:rPr>
                <w:sz w:val="22"/>
                <w:szCs w:val="22"/>
              </w:rPr>
              <w:t>) days’ written notice; provided that a majority in interest of the Limited Partners shall have approved a replacement general partner prior to the effective date of any such removal. If the Limited Partners take no action pursuant to this paragraph, the General Partner shall wind up and dissolve the Fund.</w:t>
            </w:r>
          </w:p>
        </w:tc>
      </w:tr>
      <w:tr w:rsidR="00C03AF6" w:rsidRPr="00C03AF6" w14:paraId="042D81B1" w14:textId="77777777" w:rsidTr="00FC026A">
        <w:tc>
          <w:tcPr>
            <w:tcW w:w="2523" w:type="dxa"/>
          </w:tcPr>
          <w:p w14:paraId="4C229814" w14:textId="43D5481B" w:rsidR="00C03AF6" w:rsidRDefault="00060E85" w:rsidP="00D63DE8">
            <w:pPr>
              <w:pStyle w:val="BodyText"/>
              <w:numPr>
                <w:ilvl w:val="0"/>
                <w:numId w:val="26"/>
              </w:numPr>
              <w:spacing w:before="120" w:after="120"/>
              <w:ind w:left="426" w:hanging="426"/>
              <w:jc w:val="left"/>
              <w:rPr>
                <w:b/>
                <w:sz w:val="22"/>
                <w:szCs w:val="22"/>
                <w:lang w:val="ru-RU"/>
              </w:rPr>
            </w:pPr>
            <w:r>
              <w:rPr>
                <w:b/>
                <w:sz w:val="22"/>
                <w:szCs w:val="22"/>
              </w:rPr>
              <w:t>Parallel Fund</w:t>
            </w:r>
          </w:p>
        </w:tc>
        <w:tc>
          <w:tcPr>
            <w:tcW w:w="6614" w:type="dxa"/>
          </w:tcPr>
          <w:p w14:paraId="66311633" w14:textId="41D73631" w:rsidR="00C03AF6" w:rsidRPr="00060E85" w:rsidRDefault="00060E85" w:rsidP="00060E85">
            <w:pPr>
              <w:pStyle w:val="BodyText"/>
              <w:spacing w:before="120" w:after="120"/>
              <w:rPr>
                <w:sz w:val="22"/>
                <w:szCs w:val="22"/>
              </w:rPr>
            </w:pPr>
            <w:r w:rsidRPr="00060E85">
              <w:rPr>
                <w:sz w:val="22"/>
                <w:szCs w:val="22"/>
              </w:rPr>
              <w:t>To accommodate the legal, regulatory, tax and/or other considerations of certain Limited Partners, the General Partner may form one or more investment vehicles that will invest alongside the Fund and have substantially the same terms as the Fund (each, a “</w:t>
            </w:r>
            <w:r w:rsidRPr="0081035E">
              <w:rPr>
                <w:b/>
                <w:bCs/>
                <w:sz w:val="22"/>
                <w:szCs w:val="22"/>
              </w:rPr>
              <w:t>Parallel Fund</w:t>
            </w:r>
            <w:r w:rsidRPr="00060E85">
              <w:rPr>
                <w:sz w:val="22"/>
                <w:szCs w:val="22"/>
              </w:rPr>
              <w:t>”).</w:t>
            </w:r>
            <w:r w:rsidR="008475C8">
              <w:rPr>
                <w:sz w:val="22"/>
                <w:szCs w:val="22"/>
              </w:rPr>
              <w:t xml:space="preserve"> </w:t>
            </w:r>
            <w:r w:rsidRPr="00060E85">
              <w:rPr>
                <w:sz w:val="22"/>
                <w:szCs w:val="22"/>
              </w:rPr>
              <w:t>The Fund and each Parallel Fund will generally co-invest in each Portfolio Investment proportionately and make and dispose of each Portfolio Investment on substantially the same terms.</w:t>
            </w:r>
            <w:r w:rsidR="008475C8">
              <w:rPr>
                <w:sz w:val="22"/>
                <w:szCs w:val="22"/>
              </w:rPr>
              <w:t xml:space="preserve"> </w:t>
            </w:r>
          </w:p>
        </w:tc>
      </w:tr>
      <w:tr w:rsidR="003C0BE2" w:rsidRPr="00060E85" w14:paraId="1737DE24" w14:textId="77777777" w:rsidTr="00FC026A">
        <w:tc>
          <w:tcPr>
            <w:tcW w:w="2523" w:type="dxa"/>
          </w:tcPr>
          <w:p w14:paraId="1F8B5D20" w14:textId="45149BBC" w:rsidR="003C0BE2" w:rsidRDefault="00060E85" w:rsidP="00D63DE8">
            <w:pPr>
              <w:pStyle w:val="BodyText"/>
              <w:numPr>
                <w:ilvl w:val="0"/>
                <w:numId w:val="26"/>
              </w:numPr>
              <w:spacing w:before="120" w:after="120"/>
              <w:ind w:left="426" w:hanging="426"/>
              <w:jc w:val="left"/>
              <w:rPr>
                <w:b/>
                <w:sz w:val="22"/>
                <w:szCs w:val="22"/>
                <w:lang w:val="ru-RU"/>
              </w:rPr>
            </w:pPr>
            <w:r>
              <w:rPr>
                <w:b/>
                <w:sz w:val="22"/>
                <w:szCs w:val="22"/>
              </w:rPr>
              <w:lastRenderedPageBreak/>
              <w:t>Alternative Investment Vehicles</w:t>
            </w:r>
          </w:p>
        </w:tc>
        <w:tc>
          <w:tcPr>
            <w:tcW w:w="6614" w:type="dxa"/>
          </w:tcPr>
          <w:p w14:paraId="40805B35" w14:textId="6E14F016" w:rsidR="003C0BE2" w:rsidRPr="00060E85" w:rsidRDefault="00060E85" w:rsidP="0009497C">
            <w:pPr>
              <w:pStyle w:val="BodyText"/>
              <w:spacing w:before="120" w:after="120"/>
              <w:rPr>
                <w:sz w:val="22"/>
                <w:szCs w:val="22"/>
              </w:rPr>
            </w:pPr>
            <w:r w:rsidRPr="00060E85">
              <w:rPr>
                <w:sz w:val="22"/>
                <w:szCs w:val="22"/>
              </w:rPr>
              <w:t xml:space="preserve">In connection with any investment, the General Partner may form and direct that the Capital Contributions of some or all of the Partners be </w:t>
            </w:r>
            <w:proofErr w:type="gramStart"/>
            <w:r w:rsidRPr="00060E85">
              <w:rPr>
                <w:sz w:val="22"/>
                <w:szCs w:val="22"/>
              </w:rPr>
              <w:t>effected</w:t>
            </w:r>
            <w:proofErr w:type="gramEnd"/>
            <w:r w:rsidRPr="00060E85">
              <w:rPr>
                <w:sz w:val="22"/>
                <w:szCs w:val="22"/>
              </w:rPr>
              <w:t xml:space="preserve"> through one or more alternative investment vehicles if, in the sole discretion of the General Partner, the use of such vehicles would allow the Fund to overcome legal or regulatory constraints, be more tax-efficient and/or facilitate participation in certain types of investments. Except as otherwise set forth in the Partnership Agreement, any such vehicles will contain terms and conditions generally comparable to those of the Fund and will be managed by the General Partner, the Management Company</w:t>
            </w:r>
            <w:r w:rsidR="005111EA">
              <w:rPr>
                <w:sz w:val="22"/>
                <w:szCs w:val="22"/>
              </w:rPr>
              <w:t>,</w:t>
            </w:r>
            <w:r w:rsidRPr="00060E85">
              <w:rPr>
                <w:sz w:val="22"/>
                <w:szCs w:val="22"/>
              </w:rPr>
              <w:t xml:space="preserve"> or an affiliate thereof.</w:t>
            </w:r>
          </w:p>
        </w:tc>
      </w:tr>
      <w:tr w:rsidR="007215B4" w:rsidRPr="00060E85" w14:paraId="7B50EB40" w14:textId="77777777" w:rsidTr="00FC026A">
        <w:tc>
          <w:tcPr>
            <w:tcW w:w="2523" w:type="dxa"/>
          </w:tcPr>
          <w:p w14:paraId="68405153" w14:textId="746F4F8B" w:rsidR="007215B4" w:rsidRDefault="00060E85" w:rsidP="00D63DE8">
            <w:pPr>
              <w:pStyle w:val="BodyText"/>
              <w:numPr>
                <w:ilvl w:val="0"/>
                <w:numId w:val="26"/>
              </w:numPr>
              <w:spacing w:before="120" w:after="120"/>
              <w:ind w:left="426" w:hanging="426"/>
              <w:jc w:val="left"/>
              <w:rPr>
                <w:b/>
                <w:sz w:val="22"/>
                <w:szCs w:val="22"/>
                <w:lang w:val="ru-RU"/>
              </w:rPr>
            </w:pPr>
            <w:r>
              <w:rPr>
                <w:b/>
                <w:sz w:val="22"/>
                <w:szCs w:val="22"/>
              </w:rPr>
              <w:t>Co-Investment</w:t>
            </w:r>
          </w:p>
        </w:tc>
        <w:tc>
          <w:tcPr>
            <w:tcW w:w="6614" w:type="dxa"/>
          </w:tcPr>
          <w:p w14:paraId="067CC2FC" w14:textId="4D4E32A2" w:rsidR="007215B4" w:rsidRPr="00060E85" w:rsidRDefault="00060E85" w:rsidP="0009497C">
            <w:pPr>
              <w:pStyle w:val="BodyText"/>
              <w:spacing w:before="120" w:after="120"/>
              <w:rPr>
                <w:sz w:val="22"/>
                <w:szCs w:val="22"/>
              </w:rPr>
            </w:pPr>
            <w:r w:rsidRPr="00060E85">
              <w:rPr>
                <w:sz w:val="22"/>
                <w:szCs w:val="22"/>
              </w:rPr>
              <w:t xml:space="preserve">The General Partner may, in its sole discretion, provide or commit to provide co-investment opportunities to one or more Limited Partners and/or other persons, in each case on terms to be determined by the General Partner in its sole discretion. In exercising its discretion to allocate co-investment opportunities with respect to a particular investment to and among potential co-investors and the terms thereof, the General Partner, in consultation with the Management Company, may consider some or </w:t>
            </w:r>
            <w:proofErr w:type="gramStart"/>
            <w:r w:rsidRPr="00060E85">
              <w:rPr>
                <w:sz w:val="22"/>
                <w:szCs w:val="22"/>
              </w:rPr>
              <w:t>all of</w:t>
            </w:r>
            <w:proofErr w:type="gramEnd"/>
            <w:r w:rsidRPr="00060E85">
              <w:rPr>
                <w:sz w:val="22"/>
                <w:szCs w:val="22"/>
              </w:rPr>
              <w:t xml:space="preserve"> a wide range of factors.</w:t>
            </w:r>
            <w:r w:rsidR="008475C8">
              <w:rPr>
                <w:sz w:val="22"/>
                <w:szCs w:val="22"/>
              </w:rPr>
              <w:t xml:space="preserve"> </w:t>
            </w:r>
          </w:p>
        </w:tc>
      </w:tr>
      <w:tr w:rsidR="00C914CD" w:rsidRPr="00060E85" w14:paraId="54AE202F" w14:textId="77777777" w:rsidTr="00FC026A">
        <w:tc>
          <w:tcPr>
            <w:tcW w:w="2523" w:type="dxa"/>
          </w:tcPr>
          <w:p w14:paraId="199ACA29" w14:textId="4C072D96" w:rsidR="00C914CD" w:rsidRPr="00E130BD" w:rsidRDefault="00060E85" w:rsidP="00D63DE8">
            <w:pPr>
              <w:pStyle w:val="BodyText"/>
              <w:numPr>
                <w:ilvl w:val="0"/>
                <w:numId w:val="26"/>
              </w:numPr>
              <w:spacing w:before="120" w:after="120"/>
              <w:ind w:left="426" w:hanging="426"/>
              <w:jc w:val="left"/>
              <w:rPr>
                <w:b/>
                <w:sz w:val="22"/>
                <w:szCs w:val="22"/>
              </w:rPr>
            </w:pPr>
            <w:r>
              <w:rPr>
                <w:b/>
                <w:sz w:val="22"/>
                <w:szCs w:val="22"/>
              </w:rPr>
              <w:t>Successor Funds</w:t>
            </w:r>
          </w:p>
        </w:tc>
        <w:tc>
          <w:tcPr>
            <w:tcW w:w="6614" w:type="dxa"/>
          </w:tcPr>
          <w:p w14:paraId="624A3A5E" w14:textId="2FF8607F" w:rsidR="00C914CD" w:rsidRPr="00060E85" w:rsidRDefault="00060E85" w:rsidP="00256B99">
            <w:pPr>
              <w:pStyle w:val="BodyText"/>
              <w:spacing w:before="120" w:after="120"/>
              <w:rPr>
                <w:sz w:val="22"/>
                <w:szCs w:val="22"/>
              </w:rPr>
            </w:pPr>
            <w:r w:rsidRPr="00060E85">
              <w:rPr>
                <w:sz w:val="22"/>
                <w:szCs w:val="22"/>
              </w:rPr>
              <w:t>None of the General Partner, the Management Company, the Principals or their affiliates will accept subscriptions for interests in a new venture capital fund (other than any Parallel Funds, Alternative Investment Vehicles or co-investment vehicles) with investment objectives and strategies substantially similar to those of the Fund (a “</w:t>
            </w:r>
            <w:r w:rsidRPr="00F32D50">
              <w:rPr>
                <w:b/>
                <w:bCs/>
                <w:sz w:val="22"/>
                <w:szCs w:val="22"/>
              </w:rPr>
              <w:t>Successor Fund</w:t>
            </w:r>
            <w:r w:rsidRPr="00060E85">
              <w:rPr>
                <w:sz w:val="22"/>
                <w:szCs w:val="22"/>
              </w:rPr>
              <w:t>”) until the earlier of (</w:t>
            </w:r>
            <w:proofErr w:type="spellStart"/>
            <w:r w:rsidRPr="00060E85">
              <w:rPr>
                <w:sz w:val="22"/>
                <w:szCs w:val="22"/>
              </w:rPr>
              <w:t>i</w:t>
            </w:r>
            <w:proofErr w:type="spellEnd"/>
            <w:r w:rsidRPr="00060E85">
              <w:rPr>
                <w:sz w:val="22"/>
                <w:szCs w:val="22"/>
              </w:rPr>
              <w:t xml:space="preserve">) the date when at least </w:t>
            </w:r>
            <w:r w:rsidR="00F32D50">
              <w:rPr>
                <w:sz w:val="22"/>
                <w:szCs w:val="22"/>
              </w:rPr>
              <w:t>[</w:t>
            </w:r>
            <w:r w:rsidRPr="00F32D50">
              <w:rPr>
                <w:sz w:val="22"/>
                <w:szCs w:val="22"/>
                <w:highlight w:val="yellow"/>
              </w:rPr>
              <w:t>seventy-five</w:t>
            </w:r>
            <w:r w:rsidR="00F32D50">
              <w:rPr>
                <w:sz w:val="22"/>
                <w:szCs w:val="22"/>
              </w:rPr>
              <w:t>]</w:t>
            </w:r>
            <w:r w:rsidRPr="00060E85">
              <w:rPr>
                <w:sz w:val="22"/>
                <w:szCs w:val="22"/>
              </w:rPr>
              <w:t xml:space="preserve"> percent (</w:t>
            </w:r>
            <w:r w:rsidR="00F32D50">
              <w:rPr>
                <w:sz w:val="22"/>
                <w:szCs w:val="22"/>
              </w:rPr>
              <w:t>[</w:t>
            </w:r>
            <w:r w:rsidRPr="00F32D50">
              <w:rPr>
                <w:sz w:val="22"/>
                <w:szCs w:val="22"/>
                <w:highlight w:val="yellow"/>
              </w:rPr>
              <w:t>75</w:t>
            </w:r>
            <w:r w:rsidR="00F32D50">
              <w:rPr>
                <w:sz w:val="22"/>
                <w:szCs w:val="22"/>
              </w:rPr>
              <w:t>]</w:t>
            </w:r>
            <w:r w:rsidRPr="00060E85">
              <w:rPr>
                <w:sz w:val="22"/>
                <w:szCs w:val="22"/>
              </w:rPr>
              <w:t>%) of the total Capital Commitments have been invested, expended, committed or allocated for portfolio investments (including Follow-On Investments and/or Follow-Up Investments) or for reasonably anticipated Fund Expenses and obligations or liabilities of the Fund and (ii) the end of the Investment Period.</w:t>
            </w:r>
          </w:p>
        </w:tc>
      </w:tr>
      <w:tr w:rsidR="005E0E02" w:rsidRPr="00060E85" w14:paraId="2F376018" w14:textId="77777777" w:rsidTr="00FC026A">
        <w:tc>
          <w:tcPr>
            <w:tcW w:w="2523" w:type="dxa"/>
          </w:tcPr>
          <w:p w14:paraId="0D48027C" w14:textId="10A55ADD" w:rsidR="005E0E02" w:rsidRPr="00E130BD" w:rsidRDefault="00060E85" w:rsidP="00D63DE8">
            <w:pPr>
              <w:pStyle w:val="BodyText"/>
              <w:numPr>
                <w:ilvl w:val="0"/>
                <w:numId w:val="26"/>
              </w:numPr>
              <w:spacing w:before="120" w:after="120"/>
              <w:ind w:left="426" w:hanging="426"/>
              <w:jc w:val="left"/>
              <w:rPr>
                <w:b/>
                <w:sz w:val="22"/>
                <w:szCs w:val="22"/>
                <w:lang w:val="ru-RU"/>
              </w:rPr>
            </w:pPr>
            <w:r>
              <w:rPr>
                <w:b/>
                <w:sz w:val="22"/>
                <w:szCs w:val="22"/>
              </w:rPr>
              <w:t>Default Provisions</w:t>
            </w:r>
          </w:p>
        </w:tc>
        <w:tc>
          <w:tcPr>
            <w:tcW w:w="6614" w:type="dxa"/>
          </w:tcPr>
          <w:p w14:paraId="1E9402AD" w14:textId="3BD28BD9" w:rsidR="005E0E02" w:rsidRPr="00060E85" w:rsidRDefault="00060E85" w:rsidP="00256B99">
            <w:pPr>
              <w:pStyle w:val="BodyText"/>
              <w:spacing w:before="120" w:after="120"/>
              <w:rPr>
                <w:sz w:val="22"/>
                <w:szCs w:val="22"/>
              </w:rPr>
            </w:pPr>
            <w:r w:rsidRPr="00060E85">
              <w:rPr>
                <w:sz w:val="22"/>
                <w:szCs w:val="22"/>
              </w:rPr>
              <w:t xml:space="preserve">If any Limited Partner fails to pay its required Capital Contribution in respect to any portion of its undrawn Capital Commitment or other obligation to the Fund </w:t>
            </w:r>
            <w:r w:rsidRPr="005B2B99">
              <w:rPr>
                <w:sz w:val="22"/>
                <w:szCs w:val="22"/>
              </w:rPr>
              <w:t>when called by the General Partner, the General Partner will have the right, but not the obligation, to treat such Limited Partner as a “</w:t>
            </w:r>
            <w:r w:rsidRPr="005B2B99">
              <w:rPr>
                <w:b/>
                <w:bCs/>
                <w:sz w:val="22"/>
                <w:szCs w:val="22"/>
              </w:rPr>
              <w:t>Defaulting Partner</w:t>
            </w:r>
            <w:r w:rsidRPr="005B2B99">
              <w:rPr>
                <w:sz w:val="22"/>
                <w:szCs w:val="22"/>
              </w:rPr>
              <w:t>”</w:t>
            </w:r>
            <w:r w:rsidR="00BA6439" w:rsidRPr="005B2B99">
              <w:rPr>
                <w:sz w:val="22"/>
                <w:szCs w:val="22"/>
              </w:rPr>
              <w:t>.</w:t>
            </w:r>
            <w:r w:rsidRPr="005B2B99">
              <w:rPr>
                <w:sz w:val="22"/>
                <w:szCs w:val="22"/>
              </w:rPr>
              <w:t xml:space="preserve"> As specified in the Partnership Agreement, a Defaulting Partner may be subject</w:t>
            </w:r>
            <w:r w:rsidRPr="00060E85">
              <w:rPr>
                <w:sz w:val="22"/>
                <w:szCs w:val="22"/>
              </w:rPr>
              <w:t xml:space="preserve"> to significant penalties, including forfeiture of its interest in the Fund.</w:t>
            </w:r>
            <w:r w:rsidR="008475C8">
              <w:rPr>
                <w:sz w:val="22"/>
                <w:szCs w:val="22"/>
              </w:rPr>
              <w:t xml:space="preserve"> </w:t>
            </w:r>
            <w:r w:rsidRPr="00060E85">
              <w:rPr>
                <w:sz w:val="22"/>
                <w:szCs w:val="22"/>
              </w:rPr>
              <w:t xml:space="preserve">Non-defaulting Limited Partners may be required to make additional contributions of capital if a Limited Partner defaults, but not </w:t>
            </w:r>
            <w:proofErr w:type="gramStart"/>
            <w:r w:rsidRPr="00060E85">
              <w:rPr>
                <w:sz w:val="22"/>
                <w:szCs w:val="22"/>
              </w:rPr>
              <w:t>in excess of</w:t>
            </w:r>
            <w:proofErr w:type="gramEnd"/>
            <w:r w:rsidRPr="00060E85">
              <w:rPr>
                <w:sz w:val="22"/>
                <w:szCs w:val="22"/>
              </w:rPr>
              <w:t xml:space="preserve"> their unfunded Capital Commitments.</w:t>
            </w:r>
          </w:p>
        </w:tc>
      </w:tr>
      <w:tr w:rsidR="007E021A" w:rsidRPr="00B83C9A" w14:paraId="60400D86" w14:textId="77777777" w:rsidTr="00FC026A">
        <w:tc>
          <w:tcPr>
            <w:tcW w:w="2523" w:type="dxa"/>
          </w:tcPr>
          <w:p w14:paraId="129930E1" w14:textId="3BC903D6" w:rsidR="007E021A" w:rsidRDefault="00060E85" w:rsidP="00D63DE8">
            <w:pPr>
              <w:pStyle w:val="BodyText"/>
              <w:numPr>
                <w:ilvl w:val="0"/>
                <w:numId w:val="26"/>
              </w:numPr>
              <w:spacing w:before="120" w:after="120"/>
              <w:ind w:left="426" w:hanging="426"/>
              <w:jc w:val="left"/>
              <w:rPr>
                <w:b/>
                <w:sz w:val="22"/>
                <w:szCs w:val="22"/>
                <w:lang w:val="ru-RU"/>
              </w:rPr>
            </w:pPr>
            <w:r>
              <w:rPr>
                <w:b/>
                <w:sz w:val="22"/>
                <w:szCs w:val="22"/>
              </w:rPr>
              <w:t xml:space="preserve">Transferability of Interests </w:t>
            </w:r>
          </w:p>
        </w:tc>
        <w:tc>
          <w:tcPr>
            <w:tcW w:w="6614" w:type="dxa"/>
          </w:tcPr>
          <w:p w14:paraId="19F4D29A" w14:textId="2D19E1C3" w:rsidR="007E021A" w:rsidRPr="00060E85" w:rsidRDefault="00060E85" w:rsidP="00256B99">
            <w:pPr>
              <w:pStyle w:val="BodyText"/>
              <w:spacing w:before="120" w:after="120"/>
              <w:rPr>
                <w:sz w:val="22"/>
                <w:szCs w:val="22"/>
              </w:rPr>
            </w:pPr>
            <w:r w:rsidRPr="00060E85">
              <w:rPr>
                <w:sz w:val="22"/>
                <w:szCs w:val="22"/>
              </w:rPr>
              <w:t>A Limited Partner’s Interest may not be sold, assigned, transferred</w:t>
            </w:r>
            <w:r w:rsidR="00223782">
              <w:rPr>
                <w:sz w:val="22"/>
                <w:szCs w:val="22"/>
              </w:rPr>
              <w:t>,</w:t>
            </w:r>
            <w:r w:rsidRPr="00060E85">
              <w:rPr>
                <w:sz w:val="22"/>
                <w:szCs w:val="22"/>
              </w:rPr>
              <w:t xml:space="preserve"> or pledged, except under certain limited circumstances and then only with the prior written consent of the General Partner.</w:t>
            </w:r>
            <w:r w:rsidR="008475C8">
              <w:rPr>
                <w:sz w:val="22"/>
                <w:szCs w:val="22"/>
              </w:rPr>
              <w:t xml:space="preserve"> </w:t>
            </w:r>
          </w:p>
        </w:tc>
      </w:tr>
      <w:tr w:rsidR="00060E85" w:rsidRPr="00B83C9A" w14:paraId="73F12084" w14:textId="77777777" w:rsidTr="00FC026A">
        <w:tc>
          <w:tcPr>
            <w:tcW w:w="2523" w:type="dxa"/>
          </w:tcPr>
          <w:p w14:paraId="688A3B40" w14:textId="7FD79F10" w:rsidR="00060E85" w:rsidRDefault="00060E85" w:rsidP="00060E85">
            <w:pPr>
              <w:pStyle w:val="BodyText"/>
              <w:numPr>
                <w:ilvl w:val="0"/>
                <w:numId w:val="26"/>
              </w:numPr>
              <w:spacing w:before="120" w:after="120"/>
              <w:ind w:left="426" w:hanging="426"/>
              <w:jc w:val="left"/>
              <w:rPr>
                <w:b/>
                <w:sz w:val="22"/>
                <w:szCs w:val="22"/>
              </w:rPr>
            </w:pPr>
            <w:r>
              <w:rPr>
                <w:b/>
                <w:sz w:val="22"/>
                <w:szCs w:val="22"/>
              </w:rPr>
              <w:t xml:space="preserve">Advisory Committee </w:t>
            </w:r>
          </w:p>
        </w:tc>
        <w:tc>
          <w:tcPr>
            <w:tcW w:w="6614" w:type="dxa"/>
          </w:tcPr>
          <w:p w14:paraId="1A100734" w14:textId="1A5FF811" w:rsidR="00060E85" w:rsidRPr="00060E85" w:rsidRDefault="00060E85" w:rsidP="00060E85">
            <w:pPr>
              <w:pStyle w:val="BodyText"/>
              <w:spacing w:before="120" w:after="120"/>
              <w:rPr>
                <w:sz w:val="22"/>
                <w:szCs w:val="22"/>
              </w:rPr>
            </w:pPr>
            <w:r w:rsidRPr="00060E85">
              <w:rPr>
                <w:sz w:val="22"/>
                <w:szCs w:val="22"/>
              </w:rPr>
              <w:t xml:space="preserve">The Fund may establish an advisory committee made up of at least </w:t>
            </w:r>
            <w:r w:rsidR="00223782">
              <w:rPr>
                <w:sz w:val="22"/>
                <w:szCs w:val="22"/>
              </w:rPr>
              <w:t>[</w:t>
            </w:r>
            <w:r w:rsidRPr="00223782">
              <w:rPr>
                <w:sz w:val="22"/>
                <w:szCs w:val="22"/>
                <w:highlight w:val="yellow"/>
              </w:rPr>
              <w:t>three</w:t>
            </w:r>
            <w:r w:rsidR="00223782">
              <w:rPr>
                <w:sz w:val="22"/>
                <w:szCs w:val="22"/>
              </w:rPr>
              <w:t>]</w:t>
            </w:r>
            <w:r w:rsidRPr="00060E85">
              <w:rPr>
                <w:sz w:val="22"/>
                <w:szCs w:val="22"/>
              </w:rPr>
              <w:t xml:space="preserve"> (</w:t>
            </w:r>
            <w:r w:rsidR="00223782">
              <w:rPr>
                <w:sz w:val="22"/>
                <w:szCs w:val="22"/>
              </w:rPr>
              <w:t>[</w:t>
            </w:r>
            <w:r w:rsidRPr="00223782">
              <w:rPr>
                <w:sz w:val="22"/>
                <w:szCs w:val="22"/>
                <w:highlight w:val="yellow"/>
              </w:rPr>
              <w:t>3</w:t>
            </w:r>
            <w:r w:rsidR="00223782">
              <w:rPr>
                <w:sz w:val="22"/>
                <w:szCs w:val="22"/>
              </w:rPr>
              <w:t>]</w:t>
            </w:r>
            <w:r w:rsidRPr="00060E85">
              <w:rPr>
                <w:sz w:val="22"/>
                <w:szCs w:val="22"/>
              </w:rPr>
              <w:t xml:space="preserve">) and not more than </w:t>
            </w:r>
            <w:r w:rsidR="00223782">
              <w:rPr>
                <w:sz w:val="22"/>
                <w:szCs w:val="22"/>
              </w:rPr>
              <w:t>[</w:t>
            </w:r>
            <w:r w:rsidRPr="00223782">
              <w:rPr>
                <w:sz w:val="22"/>
                <w:szCs w:val="22"/>
                <w:highlight w:val="yellow"/>
              </w:rPr>
              <w:t>five</w:t>
            </w:r>
            <w:r w:rsidR="00223782">
              <w:rPr>
                <w:sz w:val="22"/>
                <w:szCs w:val="22"/>
              </w:rPr>
              <w:t>]</w:t>
            </w:r>
            <w:r w:rsidRPr="00060E85">
              <w:rPr>
                <w:sz w:val="22"/>
                <w:szCs w:val="22"/>
              </w:rPr>
              <w:t xml:space="preserve"> (</w:t>
            </w:r>
            <w:r w:rsidR="00223782">
              <w:rPr>
                <w:sz w:val="22"/>
                <w:szCs w:val="22"/>
              </w:rPr>
              <w:t>[</w:t>
            </w:r>
            <w:r w:rsidRPr="00223782">
              <w:rPr>
                <w:sz w:val="22"/>
                <w:szCs w:val="22"/>
                <w:highlight w:val="yellow"/>
              </w:rPr>
              <w:t>5</w:t>
            </w:r>
            <w:r w:rsidR="00223782">
              <w:rPr>
                <w:sz w:val="22"/>
                <w:szCs w:val="22"/>
              </w:rPr>
              <w:t>]</w:t>
            </w:r>
            <w:r w:rsidRPr="00060E85">
              <w:rPr>
                <w:sz w:val="22"/>
                <w:szCs w:val="22"/>
              </w:rPr>
              <w:t>) representatives of the Limited Partners approved by the General Partner (the “</w:t>
            </w:r>
            <w:r w:rsidRPr="00223782">
              <w:rPr>
                <w:b/>
                <w:bCs/>
                <w:sz w:val="22"/>
                <w:szCs w:val="22"/>
              </w:rPr>
              <w:t>Advisory Committee</w:t>
            </w:r>
            <w:r w:rsidRPr="00060E85">
              <w:rPr>
                <w:sz w:val="22"/>
                <w:szCs w:val="22"/>
              </w:rPr>
              <w:t>”).</w:t>
            </w:r>
            <w:r w:rsidR="008475C8">
              <w:rPr>
                <w:sz w:val="22"/>
                <w:szCs w:val="22"/>
              </w:rPr>
              <w:t xml:space="preserve"> </w:t>
            </w:r>
            <w:r w:rsidRPr="00060E85">
              <w:rPr>
                <w:sz w:val="22"/>
                <w:szCs w:val="22"/>
              </w:rPr>
              <w:t>If formed, the Advisory Committee will (</w:t>
            </w:r>
            <w:proofErr w:type="spellStart"/>
            <w:r w:rsidRPr="00060E85">
              <w:rPr>
                <w:sz w:val="22"/>
                <w:szCs w:val="22"/>
              </w:rPr>
              <w:t>i</w:t>
            </w:r>
            <w:proofErr w:type="spellEnd"/>
            <w:r w:rsidRPr="00060E85">
              <w:rPr>
                <w:sz w:val="22"/>
                <w:szCs w:val="22"/>
              </w:rPr>
              <w:t xml:space="preserve">) approve certain actions described in the Partnership Agreement and (ii) provide advice and counsel in connection with any conflicts of interests or potential conflicts of interest that the General Partner reasonably determines are material </w:t>
            </w:r>
            <w:r w:rsidRPr="00060E85">
              <w:rPr>
                <w:sz w:val="22"/>
                <w:szCs w:val="22"/>
              </w:rPr>
              <w:lastRenderedPageBreak/>
              <w:t>with respect to the Fund.</w:t>
            </w:r>
            <w:r w:rsidR="008475C8">
              <w:rPr>
                <w:sz w:val="22"/>
                <w:szCs w:val="22"/>
              </w:rPr>
              <w:t xml:space="preserve"> </w:t>
            </w:r>
            <w:r w:rsidRPr="00060E85">
              <w:rPr>
                <w:sz w:val="22"/>
                <w:szCs w:val="22"/>
              </w:rPr>
              <w:t xml:space="preserve">Advisory Committee decisions will be authorized by </w:t>
            </w:r>
            <w:proofErr w:type="gramStart"/>
            <w:r w:rsidRPr="00060E85">
              <w:rPr>
                <w:sz w:val="22"/>
                <w:szCs w:val="22"/>
              </w:rPr>
              <w:t>a majority of</w:t>
            </w:r>
            <w:proofErr w:type="gramEnd"/>
            <w:r w:rsidRPr="00060E85">
              <w:rPr>
                <w:sz w:val="22"/>
                <w:szCs w:val="22"/>
              </w:rPr>
              <w:t xml:space="preserve"> the Advisory Committee members.</w:t>
            </w:r>
          </w:p>
        </w:tc>
      </w:tr>
      <w:tr w:rsidR="003333F4" w:rsidRPr="00B83C9A" w14:paraId="5F5DDAF9" w14:textId="207B3E0B" w:rsidTr="00FC026A">
        <w:tc>
          <w:tcPr>
            <w:tcW w:w="2523" w:type="dxa"/>
          </w:tcPr>
          <w:p w14:paraId="65ED2B51" w14:textId="1601A659" w:rsidR="003333F4" w:rsidRDefault="003333F4" w:rsidP="00060E85">
            <w:pPr>
              <w:pStyle w:val="BodyText"/>
              <w:numPr>
                <w:ilvl w:val="0"/>
                <w:numId w:val="26"/>
              </w:numPr>
              <w:spacing w:before="120" w:after="120"/>
              <w:ind w:left="426" w:hanging="426"/>
              <w:jc w:val="left"/>
              <w:rPr>
                <w:b/>
                <w:sz w:val="22"/>
                <w:szCs w:val="22"/>
              </w:rPr>
            </w:pPr>
            <w:r>
              <w:rPr>
                <w:b/>
                <w:sz w:val="22"/>
                <w:szCs w:val="22"/>
              </w:rPr>
              <w:lastRenderedPageBreak/>
              <w:t xml:space="preserve">Indemnification </w:t>
            </w:r>
          </w:p>
        </w:tc>
        <w:tc>
          <w:tcPr>
            <w:tcW w:w="6614" w:type="dxa"/>
          </w:tcPr>
          <w:p w14:paraId="56A3A781" w14:textId="541A9616" w:rsidR="003333F4" w:rsidRPr="00060E85" w:rsidRDefault="003333F4" w:rsidP="00060E85">
            <w:pPr>
              <w:pStyle w:val="BodyText"/>
              <w:spacing w:before="120" w:after="120"/>
              <w:rPr>
                <w:sz w:val="22"/>
                <w:szCs w:val="22"/>
              </w:rPr>
            </w:pPr>
            <w:r w:rsidRPr="00060E85">
              <w:rPr>
                <w:sz w:val="22"/>
                <w:szCs w:val="22"/>
              </w:rPr>
              <w:t>The Fund will indemnify the General Partner, the Management Company, the Principals and their affiliates, and each of their respective directors, officers, partners, members, equity holders, employees and agents, and members of the Advisory Committee (including any Limited Partner represented by a member of the Advisory Committee) and all persons who previously served in such capacities (each, an “</w:t>
            </w:r>
            <w:r w:rsidRPr="009F5D52">
              <w:rPr>
                <w:b/>
                <w:bCs/>
                <w:sz w:val="22"/>
                <w:szCs w:val="22"/>
              </w:rPr>
              <w:t>Indemnified Person</w:t>
            </w:r>
            <w:r w:rsidRPr="00060E85">
              <w:rPr>
                <w:sz w:val="22"/>
                <w:szCs w:val="22"/>
              </w:rPr>
              <w:t>”) against all liabilities incurred in connection with such Indemnified Person’s acts or omissions or alleged acts or omissions arising out of their activities on behalf of the Fund, provided that such Indemnified Person acted in a manner reasonably believed by such Indemnified Person to be in the best interest of the Fund and so long as such acts or omissions did not constitute (</w:t>
            </w:r>
            <w:proofErr w:type="spellStart"/>
            <w:r w:rsidRPr="00060E85">
              <w:rPr>
                <w:sz w:val="22"/>
                <w:szCs w:val="22"/>
              </w:rPr>
              <w:t>i</w:t>
            </w:r>
            <w:proofErr w:type="spellEnd"/>
            <w:r w:rsidRPr="00060E85">
              <w:rPr>
                <w:sz w:val="22"/>
                <w:szCs w:val="22"/>
              </w:rPr>
              <w:t xml:space="preserve">) bad faith, fraud, gross negligence (as defined under the laws of the State of </w:t>
            </w:r>
            <w:r>
              <w:rPr>
                <w:sz w:val="22"/>
                <w:szCs w:val="22"/>
              </w:rPr>
              <w:t>[</w:t>
            </w:r>
            <w:r w:rsidRPr="00802E6A">
              <w:rPr>
                <w:sz w:val="22"/>
                <w:szCs w:val="22"/>
                <w:highlight w:val="yellow"/>
              </w:rPr>
              <w:t>State of Incorporation</w:t>
            </w:r>
            <w:r>
              <w:rPr>
                <w:sz w:val="22"/>
                <w:szCs w:val="22"/>
              </w:rPr>
              <w:t>]</w:t>
            </w:r>
            <w:r w:rsidRPr="00060E85">
              <w:rPr>
                <w:sz w:val="22"/>
                <w:szCs w:val="22"/>
              </w:rPr>
              <w:t>) or willful misconduct or (ii) an intentional and material (A) breach of the Partnership Agreement or (B) violation of applicable law; provided, further, that in the case of an Indemnified Person who is a member of the Advisory Committee (including any Limited Partner represented by a member of the Advisory Committee), such conduct was not taken by such Indemnified Person in bad faith.</w:t>
            </w:r>
            <w:r>
              <w:rPr>
                <w:sz w:val="22"/>
                <w:szCs w:val="22"/>
              </w:rPr>
              <w:t xml:space="preserve"> </w:t>
            </w:r>
            <w:r w:rsidRPr="00060E85">
              <w:rPr>
                <w:sz w:val="22"/>
                <w:szCs w:val="22"/>
              </w:rPr>
              <w:t xml:space="preserve"> </w:t>
            </w:r>
          </w:p>
        </w:tc>
      </w:tr>
      <w:tr w:rsidR="003333F4" w:rsidRPr="00B83C9A" w14:paraId="4CF5D5C7" w14:textId="77777777" w:rsidTr="00FC026A">
        <w:tc>
          <w:tcPr>
            <w:tcW w:w="2523" w:type="dxa"/>
          </w:tcPr>
          <w:p w14:paraId="3DA968FD" w14:textId="248FED64" w:rsidR="003333F4" w:rsidRDefault="003333F4" w:rsidP="00060E85">
            <w:pPr>
              <w:pStyle w:val="BodyText"/>
              <w:numPr>
                <w:ilvl w:val="0"/>
                <w:numId w:val="26"/>
              </w:numPr>
              <w:spacing w:before="120" w:after="120"/>
              <w:ind w:left="426" w:hanging="426"/>
              <w:jc w:val="left"/>
              <w:rPr>
                <w:b/>
                <w:sz w:val="22"/>
                <w:szCs w:val="22"/>
              </w:rPr>
            </w:pPr>
            <w:r>
              <w:rPr>
                <w:b/>
                <w:sz w:val="22"/>
                <w:szCs w:val="22"/>
              </w:rPr>
              <w:t>Side Letters</w:t>
            </w:r>
          </w:p>
        </w:tc>
        <w:tc>
          <w:tcPr>
            <w:tcW w:w="6614" w:type="dxa"/>
          </w:tcPr>
          <w:p w14:paraId="272D841C" w14:textId="414695E6" w:rsidR="003333F4" w:rsidRPr="00060E85" w:rsidRDefault="003333F4" w:rsidP="00060E85">
            <w:pPr>
              <w:pStyle w:val="BodyText"/>
              <w:spacing w:before="120" w:after="120"/>
              <w:rPr>
                <w:sz w:val="22"/>
                <w:szCs w:val="22"/>
              </w:rPr>
            </w:pPr>
            <w:r w:rsidRPr="00060E85">
              <w:rPr>
                <w:sz w:val="22"/>
                <w:szCs w:val="22"/>
              </w:rPr>
              <w:t>The General Partner, without any further act, approval or vote of any Limited Partner, may enter into side letters or other similar agreements with one or more Limited Partners that have the effect of altering or supplementing the terms of the Partnership Agreement (including, without limitation, economic terms) with respect to such Limited Partners.</w:t>
            </w:r>
          </w:p>
        </w:tc>
      </w:tr>
      <w:tr w:rsidR="003333F4" w:rsidRPr="00B83C9A" w14:paraId="17E078B8" w14:textId="77777777" w:rsidTr="00FC026A">
        <w:tc>
          <w:tcPr>
            <w:tcW w:w="2523" w:type="dxa"/>
          </w:tcPr>
          <w:p w14:paraId="70E01180" w14:textId="7569F6F7" w:rsidR="003333F4" w:rsidRDefault="003333F4" w:rsidP="00060E85">
            <w:pPr>
              <w:pStyle w:val="BodyText"/>
              <w:numPr>
                <w:ilvl w:val="0"/>
                <w:numId w:val="26"/>
              </w:numPr>
              <w:spacing w:before="120" w:after="120"/>
              <w:ind w:left="426" w:hanging="426"/>
              <w:jc w:val="left"/>
              <w:rPr>
                <w:b/>
                <w:sz w:val="22"/>
                <w:szCs w:val="22"/>
              </w:rPr>
            </w:pPr>
            <w:r>
              <w:rPr>
                <w:b/>
                <w:sz w:val="22"/>
                <w:szCs w:val="22"/>
              </w:rPr>
              <w:t xml:space="preserve">Term </w:t>
            </w:r>
          </w:p>
        </w:tc>
        <w:tc>
          <w:tcPr>
            <w:tcW w:w="6614" w:type="dxa"/>
          </w:tcPr>
          <w:p w14:paraId="5F0C4346" w14:textId="0275EB24" w:rsidR="003333F4" w:rsidRPr="00060E85" w:rsidRDefault="003333F4" w:rsidP="00060E85">
            <w:pPr>
              <w:pStyle w:val="BodyText"/>
              <w:spacing w:before="120" w:after="120"/>
              <w:rPr>
                <w:sz w:val="22"/>
                <w:szCs w:val="22"/>
              </w:rPr>
            </w:pPr>
            <w:r w:rsidRPr="00060E85">
              <w:rPr>
                <w:sz w:val="22"/>
                <w:szCs w:val="22"/>
              </w:rPr>
              <w:t xml:space="preserve">The Fund will be wound up and dissolved </w:t>
            </w:r>
            <w:r>
              <w:rPr>
                <w:sz w:val="22"/>
                <w:szCs w:val="22"/>
              </w:rPr>
              <w:t>[</w:t>
            </w:r>
            <w:r w:rsidRPr="00C63891">
              <w:rPr>
                <w:sz w:val="22"/>
                <w:szCs w:val="22"/>
                <w:highlight w:val="yellow"/>
              </w:rPr>
              <w:t>seven</w:t>
            </w:r>
            <w:r>
              <w:rPr>
                <w:sz w:val="22"/>
                <w:szCs w:val="22"/>
              </w:rPr>
              <w:t>]</w:t>
            </w:r>
            <w:r w:rsidRPr="00060E85">
              <w:rPr>
                <w:sz w:val="22"/>
                <w:szCs w:val="22"/>
              </w:rPr>
              <w:t xml:space="preserve"> (</w:t>
            </w:r>
            <w:r>
              <w:rPr>
                <w:sz w:val="22"/>
                <w:szCs w:val="22"/>
              </w:rPr>
              <w:t>[</w:t>
            </w:r>
            <w:r w:rsidRPr="00C63891">
              <w:rPr>
                <w:sz w:val="22"/>
                <w:szCs w:val="22"/>
                <w:highlight w:val="yellow"/>
              </w:rPr>
              <w:t>7</w:t>
            </w:r>
            <w:r>
              <w:rPr>
                <w:sz w:val="22"/>
                <w:szCs w:val="22"/>
              </w:rPr>
              <w:t>]</w:t>
            </w:r>
            <w:r w:rsidRPr="00060E85">
              <w:rPr>
                <w:sz w:val="22"/>
                <w:szCs w:val="22"/>
              </w:rPr>
              <w:t>) years after the Initial Closing (the “</w:t>
            </w:r>
            <w:r w:rsidRPr="006F654A">
              <w:rPr>
                <w:b/>
                <w:bCs/>
                <w:sz w:val="22"/>
                <w:szCs w:val="22"/>
              </w:rPr>
              <w:t>Term</w:t>
            </w:r>
            <w:r w:rsidRPr="00060E85">
              <w:rPr>
                <w:sz w:val="22"/>
                <w:szCs w:val="22"/>
              </w:rPr>
              <w:t xml:space="preserve">”), subject to extension by the General Partner for up to </w:t>
            </w:r>
            <w:r>
              <w:rPr>
                <w:sz w:val="22"/>
                <w:szCs w:val="22"/>
              </w:rPr>
              <w:t>[</w:t>
            </w:r>
            <w:r w:rsidRPr="00BB3D82">
              <w:rPr>
                <w:sz w:val="22"/>
                <w:szCs w:val="22"/>
                <w:highlight w:val="yellow"/>
              </w:rPr>
              <w:t>two</w:t>
            </w:r>
            <w:r>
              <w:rPr>
                <w:sz w:val="22"/>
                <w:szCs w:val="22"/>
              </w:rPr>
              <w:t>]</w:t>
            </w:r>
            <w:r w:rsidRPr="00060E85">
              <w:rPr>
                <w:sz w:val="22"/>
                <w:szCs w:val="22"/>
              </w:rPr>
              <w:t xml:space="preserve"> </w:t>
            </w:r>
            <w:r>
              <w:rPr>
                <w:sz w:val="22"/>
                <w:szCs w:val="22"/>
              </w:rPr>
              <w:t>([</w:t>
            </w:r>
            <w:r w:rsidRPr="00BB3D82">
              <w:rPr>
                <w:sz w:val="22"/>
                <w:szCs w:val="22"/>
                <w:highlight w:val="yellow"/>
              </w:rPr>
              <w:t>2</w:t>
            </w:r>
            <w:r>
              <w:rPr>
                <w:sz w:val="22"/>
                <w:szCs w:val="22"/>
              </w:rPr>
              <w:t xml:space="preserve">]) </w:t>
            </w:r>
            <w:r w:rsidRPr="00060E85">
              <w:rPr>
                <w:sz w:val="22"/>
                <w:szCs w:val="22"/>
              </w:rPr>
              <w:t xml:space="preserve">additional </w:t>
            </w:r>
            <w:r>
              <w:rPr>
                <w:sz w:val="22"/>
                <w:szCs w:val="22"/>
              </w:rPr>
              <w:t>[</w:t>
            </w:r>
            <w:r w:rsidRPr="00C07A49">
              <w:rPr>
                <w:sz w:val="22"/>
                <w:szCs w:val="22"/>
                <w:highlight w:val="yellow"/>
              </w:rPr>
              <w:t>one</w:t>
            </w:r>
            <w:r>
              <w:rPr>
                <w:sz w:val="22"/>
                <w:szCs w:val="22"/>
              </w:rPr>
              <w:t>]</w:t>
            </w:r>
            <w:r w:rsidRPr="00060E85">
              <w:rPr>
                <w:sz w:val="22"/>
                <w:szCs w:val="22"/>
              </w:rPr>
              <w:t>-year periods.</w:t>
            </w:r>
            <w:r>
              <w:rPr>
                <w:sz w:val="22"/>
                <w:szCs w:val="22"/>
              </w:rPr>
              <w:t xml:space="preserve"> </w:t>
            </w:r>
            <w:r w:rsidRPr="00060E85">
              <w:rPr>
                <w:sz w:val="22"/>
                <w:szCs w:val="22"/>
              </w:rPr>
              <w:t xml:space="preserve">The General Partner may further extend the Term for one or more additional </w:t>
            </w:r>
            <w:r>
              <w:rPr>
                <w:sz w:val="22"/>
                <w:szCs w:val="22"/>
              </w:rPr>
              <w:t>[</w:t>
            </w:r>
            <w:r w:rsidRPr="00C07A49">
              <w:rPr>
                <w:sz w:val="22"/>
                <w:szCs w:val="22"/>
                <w:highlight w:val="yellow"/>
              </w:rPr>
              <w:t>one</w:t>
            </w:r>
            <w:r>
              <w:rPr>
                <w:sz w:val="22"/>
                <w:szCs w:val="22"/>
              </w:rPr>
              <w:t>]</w:t>
            </w:r>
            <w:r w:rsidRPr="00060E85">
              <w:rPr>
                <w:sz w:val="22"/>
                <w:szCs w:val="22"/>
              </w:rPr>
              <w:t>-year periods with the consent of the Advisory Committee or a majority in interest of the Limited Partners.</w:t>
            </w:r>
          </w:p>
        </w:tc>
      </w:tr>
      <w:tr w:rsidR="003333F4" w:rsidRPr="00B83C9A" w14:paraId="01AD2AFA" w14:textId="77777777" w:rsidTr="00FC026A">
        <w:tc>
          <w:tcPr>
            <w:tcW w:w="2523" w:type="dxa"/>
          </w:tcPr>
          <w:p w14:paraId="71BA0F82" w14:textId="704EDDC5" w:rsidR="003333F4" w:rsidRDefault="003333F4" w:rsidP="00060E85">
            <w:pPr>
              <w:pStyle w:val="BodyText"/>
              <w:numPr>
                <w:ilvl w:val="0"/>
                <w:numId w:val="26"/>
              </w:numPr>
              <w:spacing w:before="120" w:after="120"/>
              <w:ind w:left="426" w:hanging="426"/>
              <w:jc w:val="left"/>
              <w:rPr>
                <w:b/>
                <w:sz w:val="22"/>
                <w:szCs w:val="22"/>
              </w:rPr>
            </w:pPr>
            <w:r>
              <w:rPr>
                <w:b/>
                <w:sz w:val="22"/>
                <w:szCs w:val="22"/>
              </w:rPr>
              <w:t>Reports</w:t>
            </w:r>
          </w:p>
        </w:tc>
        <w:tc>
          <w:tcPr>
            <w:tcW w:w="6614" w:type="dxa"/>
          </w:tcPr>
          <w:p w14:paraId="09F1D5DB" w14:textId="06D52758" w:rsidR="003333F4" w:rsidRPr="00060E85" w:rsidRDefault="003333F4" w:rsidP="00060E85">
            <w:pPr>
              <w:pStyle w:val="BodyText"/>
              <w:spacing w:before="120" w:after="120"/>
              <w:rPr>
                <w:sz w:val="22"/>
                <w:szCs w:val="22"/>
              </w:rPr>
            </w:pPr>
            <w:r w:rsidRPr="00060E85">
              <w:rPr>
                <w:sz w:val="22"/>
                <w:szCs w:val="22"/>
              </w:rPr>
              <w:t xml:space="preserve">The Fund will furnish annually to all Partners unaudited financial statements and IRS Schedule K-1 within </w:t>
            </w:r>
            <w:r>
              <w:rPr>
                <w:sz w:val="22"/>
                <w:szCs w:val="22"/>
              </w:rPr>
              <w:t>[</w:t>
            </w:r>
            <w:r w:rsidRPr="00D808C6">
              <w:rPr>
                <w:sz w:val="22"/>
                <w:szCs w:val="22"/>
                <w:highlight w:val="yellow"/>
              </w:rPr>
              <w:t>one hundred and twenty</w:t>
            </w:r>
            <w:r>
              <w:rPr>
                <w:sz w:val="22"/>
                <w:szCs w:val="22"/>
              </w:rPr>
              <w:t>]</w:t>
            </w:r>
            <w:r w:rsidRPr="00060E85">
              <w:rPr>
                <w:sz w:val="22"/>
                <w:szCs w:val="22"/>
              </w:rPr>
              <w:t xml:space="preserve"> (</w:t>
            </w:r>
            <w:r>
              <w:rPr>
                <w:sz w:val="22"/>
                <w:szCs w:val="22"/>
              </w:rPr>
              <w:t>[</w:t>
            </w:r>
            <w:r w:rsidRPr="00D808C6">
              <w:rPr>
                <w:sz w:val="22"/>
                <w:szCs w:val="22"/>
                <w:highlight w:val="yellow"/>
              </w:rPr>
              <w:t>120</w:t>
            </w:r>
            <w:r>
              <w:rPr>
                <w:sz w:val="22"/>
                <w:szCs w:val="22"/>
              </w:rPr>
              <w:t>]</w:t>
            </w:r>
            <w:r w:rsidRPr="00060E85">
              <w:rPr>
                <w:sz w:val="22"/>
                <w:szCs w:val="22"/>
              </w:rPr>
              <w:t>) days after the end of its fiscal year.</w:t>
            </w:r>
            <w:r>
              <w:rPr>
                <w:sz w:val="22"/>
                <w:szCs w:val="22"/>
              </w:rPr>
              <w:t xml:space="preserve"> </w:t>
            </w:r>
            <w:r w:rsidRPr="00060E85">
              <w:rPr>
                <w:sz w:val="22"/>
                <w:szCs w:val="22"/>
              </w:rPr>
              <w:t xml:space="preserve">For </w:t>
            </w:r>
            <w:r>
              <w:rPr>
                <w:sz w:val="22"/>
                <w:szCs w:val="22"/>
              </w:rPr>
              <w:t>[</w:t>
            </w:r>
            <w:r w:rsidRPr="005E400A">
              <w:rPr>
                <w:sz w:val="22"/>
                <w:szCs w:val="22"/>
                <w:highlight w:val="yellow"/>
              </w:rPr>
              <w:t>the first three quarters] of each year</w:t>
            </w:r>
            <w:r>
              <w:rPr>
                <w:sz w:val="22"/>
                <w:szCs w:val="22"/>
              </w:rPr>
              <w:t>]</w:t>
            </w:r>
            <w:r w:rsidRPr="00060E85">
              <w:rPr>
                <w:sz w:val="22"/>
                <w:szCs w:val="22"/>
              </w:rPr>
              <w:t>, each Limited Partner will be furnished with unaudited financial statements, a statement of capital account and a schedule of new and existing investments.</w:t>
            </w:r>
            <w:r>
              <w:rPr>
                <w:sz w:val="22"/>
                <w:szCs w:val="22"/>
              </w:rPr>
              <w:t xml:space="preserve"> </w:t>
            </w:r>
            <w:r w:rsidRPr="00060E85">
              <w:rPr>
                <w:sz w:val="22"/>
                <w:szCs w:val="22"/>
              </w:rPr>
              <w:t>Reports and information will be subject to confidentiality restrictions and limitations as set forth in the Partnership Agreement.</w:t>
            </w:r>
            <w:r>
              <w:rPr>
                <w:sz w:val="22"/>
                <w:szCs w:val="22"/>
              </w:rPr>
              <w:t xml:space="preserve"> </w:t>
            </w:r>
            <w:r w:rsidRPr="00060E85">
              <w:rPr>
                <w:sz w:val="22"/>
                <w:szCs w:val="22"/>
              </w:rPr>
              <w:t>Each Limited Partner will be required to maintain information provided to it about the Fund or its business in the strictest confidence and to not disclose the information except in certain limited circumstances.</w:t>
            </w:r>
          </w:p>
        </w:tc>
      </w:tr>
      <w:tr w:rsidR="003333F4" w:rsidRPr="00B83C9A" w14:paraId="5CB6E161" w14:textId="77777777" w:rsidTr="00FC026A">
        <w:tc>
          <w:tcPr>
            <w:tcW w:w="2523" w:type="dxa"/>
          </w:tcPr>
          <w:p w14:paraId="5887E92C" w14:textId="724EAD64" w:rsidR="003333F4" w:rsidRDefault="003333F4" w:rsidP="00060E85">
            <w:pPr>
              <w:pStyle w:val="BodyText"/>
              <w:numPr>
                <w:ilvl w:val="0"/>
                <w:numId w:val="26"/>
              </w:numPr>
              <w:spacing w:before="120" w:after="120"/>
              <w:ind w:left="426" w:hanging="426"/>
              <w:jc w:val="left"/>
              <w:rPr>
                <w:b/>
                <w:sz w:val="22"/>
                <w:szCs w:val="22"/>
              </w:rPr>
            </w:pPr>
            <w:r>
              <w:rPr>
                <w:b/>
                <w:sz w:val="22"/>
                <w:szCs w:val="22"/>
              </w:rPr>
              <w:t>Tax Aspects</w:t>
            </w:r>
          </w:p>
        </w:tc>
        <w:tc>
          <w:tcPr>
            <w:tcW w:w="6614" w:type="dxa"/>
          </w:tcPr>
          <w:p w14:paraId="71091180" w14:textId="7910376A" w:rsidR="003333F4" w:rsidRPr="00060E85" w:rsidRDefault="003333F4" w:rsidP="00060E85">
            <w:pPr>
              <w:pStyle w:val="BodyText"/>
              <w:spacing w:before="120" w:after="120"/>
              <w:rPr>
                <w:sz w:val="22"/>
                <w:szCs w:val="22"/>
              </w:rPr>
            </w:pPr>
            <w:r w:rsidRPr="00060E85">
              <w:rPr>
                <w:sz w:val="22"/>
                <w:szCs w:val="22"/>
              </w:rPr>
              <w:t>The Fund intends to operate as a partnership and, accordingly, should not be subject to federal income tax.</w:t>
            </w:r>
            <w:r>
              <w:rPr>
                <w:sz w:val="22"/>
                <w:szCs w:val="22"/>
              </w:rPr>
              <w:t xml:space="preserve"> </w:t>
            </w:r>
            <w:r w:rsidRPr="00060E85">
              <w:rPr>
                <w:sz w:val="22"/>
                <w:szCs w:val="22"/>
              </w:rPr>
              <w:t>Each Limited Partner will be required to report on its own annual tax return such Limited Partner’s distributive share of the Fund’s taxable income or loss.</w:t>
            </w:r>
          </w:p>
        </w:tc>
      </w:tr>
      <w:tr w:rsidR="003333F4" w:rsidRPr="00B83C9A" w14:paraId="03AD9F55" w14:textId="77777777" w:rsidTr="00FC026A">
        <w:tc>
          <w:tcPr>
            <w:tcW w:w="2523" w:type="dxa"/>
          </w:tcPr>
          <w:p w14:paraId="2C1BD38A" w14:textId="2E594560" w:rsidR="003333F4" w:rsidRDefault="003333F4" w:rsidP="00060E85">
            <w:pPr>
              <w:pStyle w:val="BodyText"/>
              <w:numPr>
                <w:ilvl w:val="0"/>
                <w:numId w:val="26"/>
              </w:numPr>
              <w:spacing w:before="120" w:after="120"/>
              <w:ind w:left="426" w:hanging="426"/>
              <w:jc w:val="left"/>
              <w:rPr>
                <w:b/>
                <w:sz w:val="22"/>
                <w:szCs w:val="22"/>
              </w:rPr>
            </w:pPr>
            <w:r>
              <w:rPr>
                <w:b/>
                <w:sz w:val="22"/>
                <w:szCs w:val="22"/>
              </w:rPr>
              <w:lastRenderedPageBreak/>
              <w:t xml:space="preserve">Securities Law Matters </w:t>
            </w:r>
          </w:p>
        </w:tc>
        <w:tc>
          <w:tcPr>
            <w:tcW w:w="6614" w:type="dxa"/>
          </w:tcPr>
          <w:p w14:paraId="428F2827" w14:textId="4AD95FB3" w:rsidR="003333F4" w:rsidRPr="00060E85" w:rsidRDefault="003333F4" w:rsidP="00060E85">
            <w:pPr>
              <w:pStyle w:val="BodyText"/>
              <w:spacing w:before="120" w:after="120"/>
              <w:rPr>
                <w:sz w:val="22"/>
                <w:szCs w:val="22"/>
              </w:rPr>
            </w:pPr>
            <w:r w:rsidRPr="00060E85">
              <w:rPr>
                <w:sz w:val="22"/>
                <w:szCs w:val="22"/>
              </w:rPr>
              <w:t>The Fund will not be registered under the U.S. Investment Company Act of 1940, as amended, pursuant to an exemption set forth in Section 3(c)(1) thereof.</w:t>
            </w:r>
            <w:r>
              <w:rPr>
                <w:sz w:val="22"/>
                <w:szCs w:val="22"/>
              </w:rPr>
              <w:t xml:space="preserve"> </w:t>
            </w:r>
            <w:r w:rsidRPr="00060E85">
              <w:rPr>
                <w:sz w:val="22"/>
                <w:szCs w:val="22"/>
              </w:rPr>
              <w:t>In addition, investors must be “accredited investors” within the meaning of Regulation D of the Securities Act of 1933, as amended, and meet certain other eligibility criteria.</w:t>
            </w:r>
          </w:p>
        </w:tc>
      </w:tr>
      <w:tr w:rsidR="003333F4" w:rsidRPr="00B83C9A" w14:paraId="4B1D568E" w14:textId="77777777" w:rsidTr="00FC026A">
        <w:tc>
          <w:tcPr>
            <w:tcW w:w="2523" w:type="dxa"/>
          </w:tcPr>
          <w:p w14:paraId="0D2C1DC7" w14:textId="126B2D79" w:rsidR="003333F4" w:rsidRDefault="003333F4" w:rsidP="00060E85">
            <w:pPr>
              <w:pStyle w:val="BodyText"/>
              <w:numPr>
                <w:ilvl w:val="0"/>
                <w:numId w:val="26"/>
              </w:numPr>
              <w:spacing w:before="120" w:after="120"/>
              <w:ind w:left="426" w:hanging="426"/>
              <w:jc w:val="left"/>
              <w:rPr>
                <w:b/>
                <w:sz w:val="22"/>
                <w:szCs w:val="22"/>
              </w:rPr>
            </w:pPr>
            <w:r>
              <w:rPr>
                <w:b/>
                <w:sz w:val="22"/>
                <w:szCs w:val="22"/>
              </w:rPr>
              <w:t xml:space="preserve">ERISA Considerations </w:t>
            </w:r>
          </w:p>
        </w:tc>
        <w:tc>
          <w:tcPr>
            <w:tcW w:w="6614" w:type="dxa"/>
          </w:tcPr>
          <w:p w14:paraId="707F235F" w14:textId="7AFFBF90" w:rsidR="003333F4" w:rsidRPr="00060E85" w:rsidRDefault="003333F4" w:rsidP="00060E85">
            <w:pPr>
              <w:pStyle w:val="BodyText"/>
              <w:spacing w:before="120" w:after="120"/>
              <w:rPr>
                <w:sz w:val="22"/>
                <w:szCs w:val="22"/>
              </w:rPr>
            </w:pPr>
            <w:r w:rsidRPr="00060E85">
              <w:rPr>
                <w:sz w:val="22"/>
                <w:szCs w:val="22"/>
              </w:rPr>
              <w:t>Investors subject to ERISA should consult their own advisors as to the effects of ERISA on an investment in the Fund.</w:t>
            </w:r>
            <w:r>
              <w:rPr>
                <w:sz w:val="22"/>
                <w:szCs w:val="22"/>
              </w:rPr>
              <w:t xml:space="preserve"> </w:t>
            </w:r>
            <w:r w:rsidRPr="00060E85">
              <w:rPr>
                <w:sz w:val="22"/>
                <w:szCs w:val="22"/>
              </w:rPr>
              <w:t>The Fund will use its reasonable best efforts to conduct the affairs and operations of the Fund in such a manner so that the assets of the Fund will not be treated as “plan assets” of any ERISA Plan for purposes of ERISA.</w:t>
            </w:r>
          </w:p>
        </w:tc>
      </w:tr>
      <w:tr w:rsidR="005B2B99" w:rsidRPr="00B83C9A" w14:paraId="5592CA35" w14:textId="77777777" w:rsidTr="00FC026A">
        <w:tc>
          <w:tcPr>
            <w:tcW w:w="2523" w:type="dxa"/>
          </w:tcPr>
          <w:p w14:paraId="6842DB1F" w14:textId="25A7D121" w:rsidR="005B2B99" w:rsidRPr="005B2B99" w:rsidRDefault="005B2B99" w:rsidP="00060E85">
            <w:pPr>
              <w:pStyle w:val="BodyText"/>
              <w:numPr>
                <w:ilvl w:val="0"/>
                <w:numId w:val="26"/>
              </w:numPr>
              <w:spacing w:before="120" w:after="120"/>
              <w:ind w:left="426" w:hanging="426"/>
              <w:jc w:val="left"/>
              <w:rPr>
                <w:b/>
                <w:sz w:val="22"/>
                <w:szCs w:val="22"/>
              </w:rPr>
            </w:pPr>
            <w:r w:rsidRPr="005B2B99">
              <w:rPr>
                <w:b/>
                <w:sz w:val="22"/>
                <w:szCs w:val="22"/>
              </w:rPr>
              <w:t>Administrator</w:t>
            </w:r>
          </w:p>
        </w:tc>
        <w:tc>
          <w:tcPr>
            <w:tcW w:w="6614" w:type="dxa"/>
          </w:tcPr>
          <w:p w14:paraId="67DD2B9F" w14:textId="359F8BFA" w:rsidR="005B2B99" w:rsidRPr="00060E85" w:rsidRDefault="005B2B99" w:rsidP="00060E85">
            <w:pPr>
              <w:pStyle w:val="BodyText"/>
              <w:spacing w:before="120" w:after="120"/>
              <w:rPr>
                <w:sz w:val="22"/>
                <w:szCs w:val="22"/>
              </w:rPr>
            </w:pPr>
            <w:r>
              <w:rPr>
                <w:sz w:val="22"/>
                <w:szCs w:val="22"/>
              </w:rPr>
              <w:t>[</w:t>
            </w:r>
            <w:r w:rsidRPr="00C94CF6">
              <w:rPr>
                <w:sz w:val="22"/>
                <w:szCs w:val="22"/>
                <w:highlight w:val="yellow"/>
              </w:rPr>
              <w:t>Administrator’s Na</w:t>
            </w:r>
            <w:r w:rsidRPr="00BB300B">
              <w:rPr>
                <w:sz w:val="22"/>
                <w:szCs w:val="22"/>
                <w:highlight w:val="yellow"/>
              </w:rPr>
              <w:t>me</w:t>
            </w:r>
            <w:r>
              <w:rPr>
                <w:sz w:val="22"/>
                <w:szCs w:val="22"/>
              </w:rPr>
              <w:t>]</w:t>
            </w:r>
          </w:p>
        </w:tc>
      </w:tr>
      <w:tr w:rsidR="005B2B99" w:rsidRPr="00B83C9A" w14:paraId="5BACE22B" w14:textId="77777777" w:rsidTr="00FC026A">
        <w:tc>
          <w:tcPr>
            <w:tcW w:w="2523" w:type="dxa"/>
          </w:tcPr>
          <w:p w14:paraId="124593DA" w14:textId="320EA0DA" w:rsidR="005B2B99" w:rsidRPr="005B2B99" w:rsidRDefault="005B2B99" w:rsidP="00060E85">
            <w:pPr>
              <w:pStyle w:val="BodyText"/>
              <w:numPr>
                <w:ilvl w:val="0"/>
                <w:numId w:val="26"/>
              </w:numPr>
              <w:spacing w:before="120" w:after="120"/>
              <w:ind w:left="426" w:hanging="426"/>
              <w:jc w:val="left"/>
              <w:rPr>
                <w:b/>
                <w:sz w:val="22"/>
                <w:szCs w:val="22"/>
              </w:rPr>
            </w:pPr>
            <w:r w:rsidRPr="005B2B99">
              <w:rPr>
                <w:b/>
                <w:sz w:val="22"/>
                <w:szCs w:val="22"/>
              </w:rPr>
              <w:t>Legal Counsel</w:t>
            </w:r>
          </w:p>
        </w:tc>
        <w:tc>
          <w:tcPr>
            <w:tcW w:w="6614" w:type="dxa"/>
          </w:tcPr>
          <w:p w14:paraId="1245C214" w14:textId="7A949CA3" w:rsidR="005B2B99" w:rsidRPr="00174690" w:rsidRDefault="005B2B99" w:rsidP="00060E85">
            <w:pPr>
              <w:pStyle w:val="BodyText"/>
              <w:spacing w:before="120" w:after="120"/>
              <w:rPr>
                <w:sz w:val="22"/>
                <w:szCs w:val="22"/>
              </w:rPr>
            </w:pPr>
            <w:r w:rsidRPr="00C94CF6">
              <w:rPr>
                <w:sz w:val="22"/>
                <w:szCs w:val="22"/>
                <w:highlight w:val="yellow"/>
              </w:rPr>
              <w:t>[Legal Counsel’s N</w:t>
            </w:r>
            <w:r w:rsidRPr="00BB300B">
              <w:rPr>
                <w:sz w:val="22"/>
                <w:szCs w:val="22"/>
                <w:highlight w:val="yellow"/>
              </w:rPr>
              <w:t>ame</w:t>
            </w:r>
            <w:r>
              <w:rPr>
                <w:sz w:val="22"/>
                <w:szCs w:val="22"/>
              </w:rPr>
              <w:t>]</w:t>
            </w:r>
          </w:p>
        </w:tc>
      </w:tr>
    </w:tbl>
    <w:p w14:paraId="48DA1605" w14:textId="1E764BB9" w:rsidR="00F602E5" w:rsidRPr="00060E85" w:rsidRDefault="00F602E5" w:rsidP="00F602E5">
      <w:pPr>
        <w:pStyle w:val="BodyText"/>
        <w:rPr>
          <w:sz w:val="22"/>
          <w:szCs w:val="22"/>
        </w:rPr>
      </w:pPr>
    </w:p>
    <w:p w14:paraId="25898824" w14:textId="28388773" w:rsidR="00AA59B4" w:rsidRPr="00060E85" w:rsidRDefault="00AA59B4" w:rsidP="00F602E5">
      <w:pPr>
        <w:pStyle w:val="BodyText"/>
        <w:rPr>
          <w:sz w:val="22"/>
          <w:szCs w:val="22"/>
        </w:rPr>
      </w:pPr>
    </w:p>
    <w:p w14:paraId="763EF323" w14:textId="24AEC2B6" w:rsidR="00041CB1" w:rsidRDefault="00041CB1" w:rsidP="00F602E5">
      <w:pPr>
        <w:pStyle w:val="BodyText"/>
        <w:rPr>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062"/>
      </w:tblGrid>
      <w:tr w:rsidR="00003C4E" w14:paraId="56A13E93" w14:textId="77777777" w:rsidTr="00003C4E">
        <w:tc>
          <w:tcPr>
            <w:tcW w:w="4957" w:type="dxa"/>
          </w:tcPr>
          <w:p w14:paraId="226935A8" w14:textId="062C2992" w:rsidR="00003C4E" w:rsidRDefault="00003C4E" w:rsidP="00003C4E">
            <w:pPr>
              <w:pStyle w:val="BodyText"/>
              <w:ind w:hanging="113"/>
              <w:rPr>
                <w:bCs/>
                <w:sz w:val="22"/>
                <w:szCs w:val="22"/>
              </w:rPr>
            </w:pPr>
            <w:r w:rsidRPr="00003C4E">
              <w:rPr>
                <w:bCs/>
                <w:sz w:val="22"/>
                <w:szCs w:val="22"/>
              </w:rPr>
              <w:t>[</w:t>
            </w:r>
            <w:r w:rsidR="005B2B99" w:rsidRPr="005B2B99">
              <w:rPr>
                <w:bCs/>
                <w:sz w:val="22"/>
                <w:szCs w:val="22"/>
                <w:highlight w:val="yellow"/>
              </w:rPr>
              <w:t>XXX</w:t>
            </w:r>
            <w:r w:rsidRPr="00003C4E">
              <w:rPr>
                <w:bCs/>
                <w:sz w:val="22"/>
                <w:szCs w:val="22"/>
              </w:rPr>
              <w:t>]</w:t>
            </w:r>
          </w:p>
        </w:tc>
        <w:tc>
          <w:tcPr>
            <w:tcW w:w="4062" w:type="dxa"/>
          </w:tcPr>
          <w:p w14:paraId="393C3A9C" w14:textId="66954643" w:rsidR="00003C4E" w:rsidRDefault="00003C4E" w:rsidP="00003C4E">
            <w:pPr>
              <w:pStyle w:val="BodyText"/>
              <w:jc w:val="left"/>
              <w:rPr>
                <w:bCs/>
                <w:sz w:val="22"/>
                <w:szCs w:val="22"/>
              </w:rPr>
            </w:pPr>
            <w:r w:rsidRPr="00003C4E">
              <w:rPr>
                <w:bCs/>
                <w:sz w:val="22"/>
                <w:szCs w:val="22"/>
              </w:rPr>
              <w:t>[</w:t>
            </w:r>
            <w:r w:rsidR="005B2B99" w:rsidRPr="005B2B99">
              <w:rPr>
                <w:bCs/>
                <w:sz w:val="22"/>
                <w:szCs w:val="22"/>
                <w:highlight w:val="yellow"/>
              </w:rPr>
              <w:t>XXX</w:t>
            </w:r>
            <w:r w:rsidRPr="00003C4E">
              <w:rPr>
                <w:bCs/>
                <w:sz w:val="22"/>
                <w:szCs w:val="22"/>
              </w:rPr>
              <w:t>]</w:t>
            </w:r>
          </w:p>
        </w:tc>
      </w:tr>
    </w:tbl>
    <w:p w14:paraId="3D7E639F" w14:textId="77777777" w:rsidR="00003C4E" w:rsidRPr="00003C4E" w:rsidRDefault="00003C4E" w:rsidP="00F602E5">
      <w:pPr>
        <w:pStyle w:val="BodyText"/>
        <w:rPr>
          <w:bCs/>
          <w:sz w:val="22"/>
          <w:szCs w:val="22"/>
        </w:rPr>
      </w:pPr>
    </w:p>
    <w:p w14:paraId="3D8FEB43" w14:textId="77777777" w:rsidR="00AA59B4" w:rsidRPr="00003C4E" w:rsidRDefault="00AA59B4" w:rsidP="00F602E5">
      <w:pPr>
        <w:pStyle w:val="BodyText"/>
        <w:rPr>
          <w:sz w:val="22"/>
          <w:szCs w:val="22"/>
        </w:rPr>
      </w:pPr>
    </w:p>
    <w:p w14:paraId="640AF799" w14:textId="3DDFEE09" w:rsidR="00AA59B4" w:rsidRPr="00003C4E" w:rsidRDefault="00AA59B4" w:rsidP="00AA59B4">
      <w:pPr>
        <w:pStyle w:val="BodyText"/>
        <w:ind w:left="1440" w:hanging="1440"/>
        <w:rPr>
          <w:sz w:val="14"/>
          <w:szCs w:val="14"/>
        </w:rPr>
      </w:pPr>
      <w:r w:rsidRPr="00003C4E">
        <w:rPr>
          <w:sz w:val="22"/>
          <w:szCs w:val="22"/>
        </w:rPr>
        <w:t>______________________________</w:t>
      </w:r>
      <w:r w:rsidRPr="00003C4E">
        <w:rPr>
          <w:sz w:val="22"/>
          <w:szCs w:val="22"/>
        </w:rPr>
        <w:tab/>
      </w:r>
      <w:r w:rsidRPr="00003C4E">
        <w:rPr>
          <w:sz w:val="22"/>
          <w:szCs w:val="22"/>
        </w:rPr>
        <w:tab/>
      </w:r>
      <w:r w:rsidRPr="00003C4E">
        <w:rPr>
          <w:sz w:val="22"/>
          <w:szCs w:val="22"/>
        </w:rPr>
        <w:tab/>
        <w:t>______________________________</w:t>
      </w:r>
      <w:r w:rsidRPr="00003C4E">
        <w:rPr>
          <w:sz w:val="22"/>
          <w:szCs w:val="22"/>
        </w:rPr>
        <w:br/>
      </w:r>
      <w:r w:rsidRPr="00003C4E">
        <w:rPr>
          <w:i/>
          <w:iCs/>
          <w:sz w:val="14"/>
          <w:szCs w:val="14"/>
        </w:rPr>
        <w:t>(</w:t>
      </w:r>
      <w:r w:rsidR="00C92786" w:rsidRPr="00C92786">
        <w:rPr>
          <w:i/>
          <w:iCs/>
          <w:sz w:val="14"/>
          <w:szCs w:val="14"/>
        </w:rPr>
        <w:t>Signature</w:t>
      </w:r>
      <w:r w:rsidRPr="00003C4E">
        <w:rPr>
          <w:i/>
          <w:iCs/>
          <w:sz w:val="14"/>
          <w:szCs w:val="14"/>
        </w:rPr>
        <w:t>)</w:t>
      </w:r>
      <w:r w:rsidRPr="00003C4E">
        <w:rPr>
          <w:sz w:val="14"/>
          <w:szCs w:val="14"/>
        </w:rPr>
        <w:tab/>
      </w:r>
      <w:r w:rsidRPr="00003C4E">
        <w:rPr>
          <w:sz w:val="14"/>
          <w:szCs w:val="14"/>
        </w:rPr>
        <w:tab/>
      </w:r>
      <w:r w:rsidRPr="00003C4E">
        <w:rPr>
          <w:sz w:val="14"/>
          <w:szCs w:val="14"/>
        </w:rPr>
        <w:tab/>
      </w:r>
      <w:r w:rsidRPr="00003C4E">
        <w:rPr>
          <w:sz w:val="14"/>
          <w:szCs w:val="14"/>
        </w:rPr>
        <w:tab/>
      </w:r>
      <w:r w:rsidRPr="00003C4E">
        <w:rPr>
          <w:sz w:val="14"/>
          <w:szCs w:val="14"/>
        </w:rPr>
        <w:tab/>
      </w:r>
      <w:r w:rsidRPr="00003C4E">
        <w:rPr>
          <w:sz w:val="14"/>
          <w:szCs w:val="14"/>
        </w:rPr>
        <w:tab/>
      </w:r>
      <w:r w:rsidRPr="00003C4E">
        <w:rPr>
          <w:sz w:val="14"/>
          <w:szCs w:val="14"/>
        </w:rPr>
        <w:tab/>
      </w:r>
      <w:r w:rsidRPr="00003C4E">
        <w:rPr>
          <w:i/>
          <w:iCs/>
          <w:sz w:val="14"/>
          <w:szCs w:val="14"/>
        </w:rPr>
        <w:t>(</w:t>
      </w:r>
      <w:r w:rsidR="00C92786" w:rsidRPr="00C92786">
        <w:rPr>
          <w:i/>
          <w:iCs/>
          <w:sz w:val="14"/>
          <w:szCs w:val="14"/>
        </w:rPr>
        <w:t>Signature</w:t>
      </w:r>
      <w:r w:rsidRPr="00003C4E">
        <w:rPr>
          <w:i/>
          <w:iCs/>
          <w:sz w:val="14"/>
          <w:szCs w:val="14"/>
        </w:rPr>
        <w:t>)</w:t>
      </w:r>
    </w:p>
    <w:p w14:paraId="402EF5D4" w14:textId="77777777" w:rsidR="00AA59B4" w:rsidRPr="00003C4E" w:rsidRDefault="00AA59B4" w:rsidP="00F602E5">
      <w:pPr>
        <w:pStyle w:val="BodyText"/>
        <w:rPr>
          <w:sz w:val="22"/>
          <w:szCs w:val="22"/>
        </w:rPr>
      </w:pPr>
    </w:p>
    <w:p w14:paraId="6AD24DD3" w14:textId="543420E8" w:rsidR="00702E22" w:rsidRPr="00B071A1" w:rsidRDefault="00003C4E" w:rsidP="00731F50">
      <w:pPr>
        <w:pStyle w:val="BodyText"/>
        <w:jc w:val="left"/>
        <w:rPr>
          <w:sz w:val="22"/>
          <w:szCs w:val="22"/>
        </w:rPr>
      </w:pPr>
      <w:r>
        <w:rPr>
          <w:sz w:val="22"/>
          <w:szCs w:val="22"/>
        </w:rPr>
        <w:t>Name and Surname</w:t>
      </w:r>
      <w:r w:rsidR="00AA59B4" w:rsidRPr="00B071A1">
        <w:rPr>
          <w:sz w:val="22"/>
          <w:szCs w:val="22"/>
        </w:rPr>
        <w:t>:</w:t>
      </w:r>
      <w:r w:rsidR="00990957" w:rsidRPr="00B071A1">
        <w:rPr>
          <w:sz w:val="22"/>
          <w:szCs w:val="22"/>
        </w:rPr>
        <w:t xml:space="preserve"> </w:t>
      </w:r>
      <w:r w:rsidR="00731F50" w:rsidRPr="00B071A1">
        <w:rPr>
          <w:sz w:val="22"/>
          <w:szCs w:val="22"/>
        </w:rPr>
        <w:t>[</w:t>
      </w:r>
      <w:r w:rsidR="00731F50" w:rsidRPr="00003C4E">
        <w:rPr>
          <w:sz w:val="22"/>
          <w:szCs w:val="22"/>
          <w:highlight w:val="yellow"/>
          <w:lang w:val="ru-RU"/>
        </w:rPr>
        <w:t>х</w:t>
      </w:r>
      <w:r w:rsidRPr="00003C4E">
        <w:rPr>
          <w:sz w:val="22"/>
          <w:szCs w:val="22"/>
          <w:highlight w:val="yellow"/>
        </w:rPr>
        <w:t>xx</w:t>
      </w:r>
      <w:r w:rsidR="00731F50" w:rsidRPr="00B071A1">
        <w:rPr>
          <w:sz w:val="22"/>
          <w:szCs w:val="22"/>
        </w:rPr>
        <w:t>]</w:t>
      </w:r>
      <w:r w:rsidR="00990957" w:rsidRPr="00B071A1">
        <w:rPr>
          <w:sz w:val="22"/>
          <w:szCs w:val="22"/>
        </w:rPr>
        <w:t xml:space="preserve"> </w:t>
      </w:r>
      <w:r w:rsidR="00AA59B4" w:rsidRPr="00B071A1">
        <w:rPr>
          <w:sz w:val="22"/>
          <w:szCs w:val="22"/>
        </w:rPr>
        <w:tab/>
      </w:r>
      <w:r w:rsidR="00731F50" w:rsidRPr="00B071A1">
        <w:rPr>
          <w:sz w:val="22"/>
          <w:szCs w:val="22"/>
        </w:rPr>
        <w:tab/>
      </w:r>
      <w:r w:rsidR="00731F50" w:rsidRPr="00B071A1">
        <w:rPr>
          <w:sz w:val="22"/>
          <w:szCs w:val="22"/>
        </w:rPr>
        <w:tab/>
      </w:r>
      <w:r w:rsidR="00AA59B4" w:rsidRPr="00B071A1">
        <w:rPr>
          <w:sz w:val="22"/>
          <w:szCs w:val="22"/>
        </w:rPr>
        <w:tab/>
      </w:r>
      <w:r w:rsidR="00B071A1">
        <w:rPr>
          <w:sz w:val="22"/>
          <w:szCs w:val="22"/>
        </w:rPr>
        <w:t xml:space="preserve">Name and </w:t>
      </w:r>
      <w:r>
        <w:rPr>
          <w:sz w:val="22"/>
          <w:szCs w:val="22"/>
        </w:rPr>
        <w:t>Surname</w:t>
      </w:r>
      <w:r w:rsidR="00AA59B4" w:rsidRPr="00B071A1">
        <w:rPr>
          <w:sz w:val="22"/>
          <w:szCs w:val="22"/>
        </w:rPr>
        <w:t>:</w:t>
      </w:r>
      <w:r w:rsidR="00990957" w:rsidRPr="00B071A1">
        <w:rPr>
          <w:sz w:val="22"/>
          <w:szCs w:val="22"/>
        </w:rPr>
        <w:t xml:space="preserve"> </w:t>
      </w:r>
      <w:r w:rsidR="00731F50" w:rsidRPr="00B071A1">
        <w:rPr>
          <w:sz w:val="22"/>
          <w:szCs w:val="22"/>
        </w:rPr>
        <w:t>[</w:t>
      </w:r>
      <w:r w:rsidR="00731F50" w:rsidRPr="00003C4E">
        <w:rPr>
          <w:sz w:val="22"/>
          <w:szCs w:val="22"/>
          <w:highlight w:val="yellow"/>
          <w:lang w:val="ru-RU"/>
        </w:rPr>
        <w:t>х</w:t>
      </w:r>
      <w:r w:rsidRPr="00003C4E">
        <w:rPr>
          <w:sz w:val="22"/>
          <w:szCs w:val="22"/>
          <w:highlight w:val="yellow"/>
        </w:rPr>
        <w:t>xx</w:t>
      </w:r>
      <w:r w:rsidR="00731F50" w:rsidRPr="00B071A1">
        <w:rPr>
          <w:sz w:val="22"/>
          <w:szCs w:val="22"/>
        </w:rPr>
        <w:t>]</w:t>
      </w:r>
      <w:r w:rsidR="00AA59B4" w:rsidRPr="00B071A1">
        <w:rPr>
          <w:sz w:val="22"/>
          <w:szCs w:val="22"/>
        </w:rPr>
        <w:br/>
      </w:r>
      <w:r w:rsidR="00B071A1">
        <w:rPr>
          <w:sz w:val="22"/>
          <w:szCs w:val="22"/>
        </w:rPr>
        <w:t>Position</w:t>
      </w:r>
      <w:r w:rsidR="00AA59B4" w:rsidRPr="00B071A1">
        <w:rPr>
          <w:sz w:val="22"/>
          <w:szCs w:val="22"/>
        </w:rPr>
        <w:t>:</w:t>
      </w:r>
      <w:r w:rsidR="00990957" w:rsidRPr="00B071A1">
        <w:rPr>
          <w:sz w:val="22"/>
          <w:szCs w:val="22"/>
        </w:rPr>
        <w:t xml:space="preserve"> </w:t>
      </w:r>
      <w:r w:rsidR="00731F50" w:rsidRPr="00B071A1">
        <w:rPr>
          <w:sz w:val="22"/>
          <w:szCs w:val="22"/>
        </w:rPr>
        <w:t>[</w:t>
      </w:r>
      <w:r w:rsidR="00731F50" w:rsidRPr="00003C4E">
        <w:rPr>
          <w:sz w:val="22"/>
          <w:szCs w:val="22"/>
          <w:highlight w:val="yellow"/>
          <w:lang w:val="ru-RU"/>
        </w:rPr>
        <w:t>х</w:t>
      </w:r>
      <w:r w:rsidRPr="00003C4E">
        <w:rPr>
          <w:sz w:val="22"/>
          <w:szCs w:val="22"/>
          <w:highlight w:val="yellow"/>
        </w:rPr>
        <w:t>xx</w:t>
      </w:r>
      <w:r w:rsidR="00731F50" w:rsidRPr="00B071A1">
        <w:rPr>
          <w:sz w:val="22"/>
          <w:szCs w:val="22"/>
        </w:rPr>
        <w:t>]</w:t>
      </w:r>
      <w:r w:rsidR="00AA59B4" w:rsidRPr="00B071A1">
        <w:rPr>
          <w:sz w:val="22"/>
          <w:szCs w:val="22"/>
        </w:rPr>
        <w:tab/>
      </w:r>
      <w:r w:rsidR="00AA59B4" w:rsidRPr="00B071A1">
        <w:rPr>
          <w:sz w:val="22"/>
          <w:szCs w:val="22"/>
        </w:rPr>
        <w:tab/>
      </w:r>
      <w:r w:rsidR="00AA59B4" w:rsidRPr="00B071A1">
        <w:rPr>
          <w:sz w:val="22"/>
          <w:szCs w:val="22"/>
        </w:rPr>
        <w:tab/>
      </w:r>
      <w:r w:rsidR="00731F50" w:rsidRPr="00B071A1">
        <w:rPr>
          <w:sz w:val="22"/>
          <w:szCs w:val="22"/>
        </w:rPr>
        <w:tab/>
      </w:r>
      <w:r w:rsidR="00731F50" w:rsidRPr="00B071A1">
        <w:rPr>
          <w:sz w:val="22"/>
          <w:szCs w:val="22"/>
        </w:rPr>
        <w:tab/>
      </w:r>
      <w:r w:rsidR="00731F50" w:rsidRPr="00B071A1">
        <w:rPr>
          <w:sz w:val="22"/>
          <w:szCs w:val="22"/>
        </w:rPr>
        <w:tab/>
      </w:r>
      <w:r w:rsidR="00B071A1">
        <w:rPr>
          <w:sz w:val="22"/>
          <w:szCs w:val="22"/>
        </w:rPr>
        <w:t>Position</w:t>
      </w:r>
      <w:r w:rsidR="00AA59B4" w:rsidRPr="00B071A1">
        <w:rPr>
          <w:sz w:val="22"/>
          <w:szCs w:val="22"/>
        </w:rPr>
        <w:t>:</w:t>
      </w:r>
      <w:r w:rsidR="00990957" w:rsidRPr="00B071A1">
        <w:rPr>
          <w:sz w:val="22"/>
          <w:szCs w:val="22"/>
        </w:rPr>
        <w:t xml:space="preserve"> </w:t>
      </w:r>
      <w:r w:rsidR="00731F50" w:rsidRPr="00B071A1">
        <w:rPr>
          <w:sz w:val="22"/>
          <w:szCs w:val="22"/>
        </w:rPr>
        <w:t>[</w:t>
      </w:r>
      <w:r w:rsidR="00731F50" w:rsidRPr="00B071A1">
        <w:rPr>
          <w:sz w:val="22"/>
          <w:szCs w:val="22"/>
          <w:highlight w:val="yellow"/>
          <w:lang w:val="ru-RU"/>
        </w:rPr>
        <w:t>х</w:t>
      </w:r>
      <w:r w:rsidR="00B071A1" w:rsidRPr="00B071A1">
        <w:rPr>
          <w:sz w:val="22"/>
          <w:szCs w:val="22"/>
          <w:highlight w:val="yellow"/>
        </w:rPr>
        <w:t>xx</w:t>
      </w:r>
      <w:r w:rsidR="00731F50" w:rsidRPr="00B071A1">
        <w:rPr>
          <w:sz w:val="22"/>
          <w:szCs w:val="22"/>
        </w:rPr>
        <w:t>]</w:t>
      </w:r>
      <w:r w:rsidR="00AA59B4" w:rsidRPr="00B071A1">
        <w:rPr>
          <w:sz w:val="22"/>
          <w:szCs w:val="22"/>
        </w:rPr>
        <w:br/>
      </w:r>
      <w:r w:rsidR="00B071A1">
        <w:rPr>
          <w:sz w:val="22"/>
          <w:szCs w:val="22"/>
        </w:rPr>
        <w:t>Date</w:t>
      </w:r>
      <w:r w:rsidR="00AA59B4" w:rsidRPr="00B071A1">
        <w:rPr>
          <w:sz w:val="22"/>
          <w:szCs w:val="22"/>
        </w:rPr>
        <w:t>:</w:t>
      </w:r>
      <w:r w:rsidR="00990957" w:rsidRPr="00B071A1">
        <w:rPr>
          <w:sz w:val="22"/>
          <w:szCs w:val="22"/>
        </w:rPr>
        <w:t xml:space="preserve"> ____________________</w:t>
      </w:r>
      <w:r w:rsidR="00AA59B4" w:rsidRPr="00B071A1">
        <w:rPr>
          <w:sz w:val="22"/>
          <w:szCs w:val="22"/>
        </w:rPr>
        <w:tab/>
      </w:r>
      <w:r w:rsidR="00AA59B4" w:rsidRPr="00B071A1">
        <w:rPr>
          <w:sz w:val="22"/>
          <w:szCs w:val="22"/>
        </w:rPr>
        <w:tab/>
      </w:r>
      <w:r w:rsidR="00AA59B4" w:rsidRPr="00B071A1">
        <w:rPr>
          <w:sz w:val="22"/>
          <w:szCs w:val="22"/>
        </w:rPr>
        <w:tab/>
      </w:r>
      <w:r w:rsidR="00AA59B4" w:rsidRPr="00B071A1">
        <w:rPr>
          <w:sz w:val="22"/>
          <w:szCs w:val="22"/>
        </w:rPr>
        <w:tab/>
      </w:r>
      <w:r w:rsidR="00B071A1">
        <w:rPr>
          <w:sz w:val="22"/>
          <w:szCs w:val="22"/>
        </w:rPr>
        <w:t>Date</w:t>
      </w:r>
      <w:r w:rsidR="00AA59B4" w:rsidRPr="00B071A1">
        <w:rPr>
          <w:sz w:val="22"/>
          <w:szCs w:val="22"/>
        </w:rPr>
        <w:t>:</w:t>
      </w:r>
      <w:r w:rsidR="00990957" w:rsidRPr="00B071A1">
        <w:rPr>
          <w:sz w:val="22"/>
          <w:szCs w:val="22"/>
        </w:rPr>
        <w:t xml:space="preserve"> ____________________</w:t>
      </w:r>
      <w:bookmarkEnd w:id="0"/>
    </w:p>
    <w:sectPr w:rsidR="00702E22" w:rsidRPr="00B071A1" w:rsidSect="00366C2F">
      <w:headerReference w:type="default" r:id="rId8"/>
      <w:footerReference w:type="default" r:id="rId9"/>
      <w:footerReference w:type="first" r:id="rId10"/>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6844A" w14:textId="77777777" w:rsidR="0017547E" w:rsidRDefault="0017547E">
      <w:r>
        <w:separator/>
      </w:r>
    </w:p>
  </w:endnote>
  <w:endnote w:type="continuationSeparator" w:id="0">
    <w:p w14:paraId="7D9A1C7E" w14:textId="77777777" w:rsidR="0017547E" w:rsidRDefault="0017547E">
      <w:r>
        <w:continuationSeparator/>
      </w:r>
    </w:p>
  </w:endnote>
  <w:endnote w:type="continuationNotice" w:id="1">
    <w:p w14:paraId="777A7CC7" w14:textId="77777777" w:rsidR="0017547E" w:rsidRDefault="00175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auto"/>
    <w:notTrueType/>
    <w:pitch w:val="variable"/>
    <w:sig w:usb0="00000003" w:usb1="00000000" w:usb2="00000000" w:usb3="00000000" w:csb0="00000003"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874574707"/>
      <w:docPartObj>
        <w:docPartGallery w:val="Page Numbers (Bottom of Page)"/>
        <w:docPartUnique/>
      </w:docPartObj>
    </w:sdtPr>
    <w:sdtEndPr>
      <w:rPr>
        <w:noProof/>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06"/>
          <w:gridCol w:w="3006"/>
          <w:gridCol w:w="3007"/>
        </w:tblGrid>
        <w:tr w:rsidR="001218FE" w14:paraId="24F4B277" w14:textId="77777777" w:rsidTr="00B6682B">
          <w:tc>
            <w:tcPr>
              <w:tcW w:w="3006" w:type="dxa"/>
            </w:tcPr>
            <w:p w14:paraId="6B5BEA6F" w14:textId="0FFBA0B0" w:rsidR="001218FE" w:rsidRDefault="0017547E" w:rsidP="001218FE">
              <w:pPr>
                <w:pStyle w:val="Footer"/>
              </w:pPr>
              <w:hyperlink r:id="rId1" w:history="1">
                <w:r w:rsidR="001218FE" w:rsidRPr="005F0402">
                  <w:rPr>
                    <w:rFonts w:ascii="Arial" w:eastAsia="SimSun" w:hAnsi="Arial" w:cs="Arial"/>
                    <w:color w:val="0000FF"/>
                    <w:szCs w:val="18"/>
                    <w:u w:val="single"/>
                    <w:lang w:eastAsia="zh-CN"/>
                  </w:rPr>
                  <w:t>www.buzko.legal</w:t>
                </w:r>
              </w:hyperlink>
            </w:p>
          </w:tc>
          <w:tc>
            <w:tcPr>
              <w:tcW w:w="3006" w:type="dxa"/>
            </w:tcPr>
            <w:p w14:paraId="403D94DE" w14:textId="0298D222" w:rsidR="001218FE" w:rsidRPr="001218FE" w:rsidRDefault="001218FE" w:rsidP="001218FE">
              <w:pPr>
                <w:pStyle w:val="Footer"/>
                <w:jc w:val="center"/>
                <w:rPr>
                  <w:sz w:val="22"/>
                </w:rPr>
              </w:pPr>
              <w:r w:rsidRPr="00C04582">
                <w:rPr>
                  <w:sz w:val="22"/>
                </w:rPr>
                <w:fldChar w:fldCharType="begin"/>
              </w:r>
              <w:r w:rsidRPr="00C04582">
                <w:rPr>
                  <w:sz w:val="22"/>
                </w:rPr>
                <w:instrText xml:space="preserve"> PAGE   \* MERGEFORMAT </w:instrText>
              </w:r>
              <w:r w:rsidRPr="00C04582">
                <w:rPr>
                  <w:sz w:val="22"/>
                </w:rPr>
                <w:fldChar w:fldCharType="separate"/>
              </w:r>
              <w:r>
                <w:rPr>
                  <w:sz w:val="22"/>
                </w:rPr>
                <w:t>2</w:t>
              </w:r>
              <w:r w:rsidRPr="00C04582">
                <w:rPr>
                  <w:noProof/>
                  <w:sz w:val="22"/>
                </w:rPr>
                <w:fldChar w:fldCharType="end"/>
              </w:r>
            </w:p>
          </w:tc>
          <w:tc>
            <w:tcPr>
              <w:tcW w:w="3007" w:type="dxa"/>
            </w:tcPr>
            <w:p w14:paraId="1584DBE6" w14:textId="77777777" w:rsidR="001218FE" w:rsidRDefault="001218FE" w:rsidP="001218FE">
              <w:pPr>
                <w:pStyle w:val="Footer"/>
                <w:jc w:val="right"/>
              </w:pPr>
            </w:p>
          </w:tc>
        </w:tr>
      </w:tbl>
      <w:p w14:paraId="678CEC11" w14:textId="69AD10DE" w:rsidR="001218FE" w:rsidRDefault="0017547E" w:rsidP="001218FE">
        <w:pPr>
          <w:pStyle w:val="Footer"/>
          <w:rPr>
            <w:sz w:val="2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06"/>
      <w:gridCol w:w="3006"/>
      <w:gridCol w:w="3007"/>
    </w:tblGrid>
    <w:tr w:rsidR="001B4142" w14:paraId="6C87512F" w14:textId="77777777" w:rsidTr="001B4142">
      <w:tc>
        <w:tcPr>
          <w:tcW w:w="3006" w:type="dxa"/>
        </w:tcPr>
        <w:p w14:paraId="1D268360" w14:textId="3D90331E" w:rsidR="001B4142" w:rsidRDefault="0017547E">
          <w:pPr>
            <w:pStyle w:val="Footer"/>
          </w:pPr>
          <w:hyperlink r:id="rId1" w:history="1">
            <w:r w:rsidR="001B4142" w:rsidRPr="005F0402">
              <w:rPr>
                <w:rFonts w:ascii="Arial" w:eastAsia="SimSun" w:hAnsi="Arial" w:cs="Arial"/>
                <w:color w:val="0000FF"/>
                <w:szCs w:val="18"/>
                <w:u w:val="single"/>
                <w:lang w:eastAsia="zh-CN"/>
              </w:rPr>
              <w:t>www.buzko.legal</w:t>
            </w:r>
          </w:hyperlink>
        </w:p>
      </w:tc>
      <w:tc>
        <w:tcPr>
          <w:tcW w:w="3006" w:type="dxa"/>
        </w:tcPr>
        <w:p w14:paraId="698ABA9C" w14:textId="77777777" w:rsidR="001B4142" w:rsidRDefault="001B4142" w:rsidP="001B4142">
          <w:pPr>
            <w:pStyle w:val="Footer"/>
            <w:jc w:val="center"/>
          </w:pPr>
        </w:p>
      </w:tc>
      <w:tc>
        <w:tcPr>
          <w:tcW w:w="3007" w:type="dxa"/>
        </w:tcPr>
        <w:p w14:paraId="0A25F07B" w14:textId="77777777" w:rsidR="001B4142" w:rsidRDefault="001B4142" w:rsidP="001B4142">
          <w:pPr>
            <w:pStyle w:val="Footer"/>
            <w:jc w:val="right"/>
          </w:pPr>
        </w:p>
      </w:tc>
    </w:tr>
  </w:tbl>
  <w:p w14:paraId="02C398AF" w14:textId="77777777" w:rsidR="001B4142" w:rsidRDefault="001B4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3228C" w14:textId="77777777" w:rsidR="0017547E" w:rsidRDefault="0017547E">
      <w:r>
        <w:separator/>
      </w:r>
    </w:p>
  </w:footnote>
  <w:footnote w:type="continuationSeparator" w:id="0">
    <w:p w14:paraId="53F19F0A" w14:textId="77777777" w:rsidR="0017547E" w:rsidRDefault="0017547E">
      <w:r>
        <w:continuationSeparator/>
      </w:r>
    </w:p>
  </w:footnote>
  <w:footnote w:type="continuationNotice" w:id="1">
    <w:p w14:paraId="7DA6D3FC" w14:textId="77777777" w:rsidR="0017547E" w:rsidRDefault="001754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4142B" w14:textId="77777777" w:rsidR="000A5EB9" w:rsidRDefault="000A5EB9" w:rsidP="00F602E5">
    <w:pPr>
      <w:pStyle w:val="Header"/>
    </w:pPr>
  </w:p>
  <w:p w14:paraId="17869648" w14:textId="77777777" w:rsidR="000A5EB9" w:rsidRDefault="000A5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E68947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894EE876"/>
    <w:lvl w:ilvl="0">
      <w:start w:val="4"/>
      <w:numFmt w:val="decimal"/>
      <w:isLgl/>
      <w:suff w:val="nothing"/>
      <w:lvlText w:val="%1."/>
      <w:lvlJc w:val="left"/>
      <w:pPr>
        <w:ind w:left="0" w:firstLine="0"/>
      </w:pPr>
      <w:rPr>
        <w:rFonts w:hint="default"/>
        <w:b/>
        <w:caps w:val="0"/>
        <w:smallCaps w:val="0"/>
        <w:strike w:val="0"/>
        <w:dstrike w:val="0"/>
        <w:vanish w:val="0"/>
        <w:color w:val="000000"/>
        <w:position w:val="0"/>
        <w:sz w:val="24"/>
        <w:vertAlign w:val="baseline"/>
      </w:rPr>
    </w:lvl>
    <w:lvl w:ilvl="1">
      <w:start w:val="1"/>
      <w:numFmt w:val="lowerLetter"/>
      <w:lvlText w:val="(%2)"/>
      <w:lvlJc w:val="left"/>
      <w:pPr>
        <w:tabs>
          <w:tab w:val="num" w:pos="720"/>
        </w:tabs>
        <w:ind w:left="720" w:firstLine="0"/>
      </w:pPr>
      <w:rPr>
        <w:rFonts w:hint="default"/>
        <w:b/>
        <w:caps w:val="0"/>
        <w:smallCaps w:val="0"/>
        <w:strike w:val="0"/>
        <w:dstrike w:val="0"/>
        <w:vanish w:val="0"/>
        <w:color w:val="000000"/>
        <w:position w:val="0"/>
        <w:sz w:val="24"/>
        <w:vertAlign w:val="baseline"/>
      </w:rPr>
    </w:lvl>
    <w:lvl w:ilvl="2">
      <w:start w:val="1"/>
      <w:numFmt w:val="lowerRoman"/>
      <w:suff w:val="nothing"/>
      <w:lvlText w:val="(%3)"/>
      <w:lvlJc w:val="left"/>
      <w:pPr>
        <w:ind w:left="0" w:firstLine="1440"/>
      </w:pPr>
      <w:rPr>
        <w:rFonts w:hint="default"/>
        <w:b/>
        <w:caps w:val="0"/>
        <w:smallCaps w:val="0"/>
        <w:strike w:val="0"/>
        <w:dstrike w:val="0"/>
        <w:vanish w:val="0"/>
        <w:color w:val="000000"/>
        <w:position w:val="0"/>
        <w:sz w:val="24"/>
        <w:vertAlign w:val="baseline"/>
      </w:rPr>
    </w:lvl>
    <w:lvl w:ilvl="3">
      <w:start w:val="1"/>
      <w:numFmt w:val="decimal"/>
      <w:isLgl/>
      <w:suff w:val="nothing"/>
      <w:lvlText w:val="(%4)"/>
      <w:lvlJc w:val="left"/>
      <w:pPr>
        <w:ind w:left="0" w:firstLine="2160"/>
      </w:pPr>
      <w:rPr>
        <w:rFonts w:hint="default"/>
        <w:b/>
        <w:caps w:val="0"/>
        <w:smallCaps w:val="0"/>
        <w:strike w:val="0"/>
        <w:dstrike w:val="0"/>
        <w:vanish w:val="0"/>
        <w:color w:val="000000"/>
        <w:position w:val="0"/>
        <w:sz w:val="24"/>
        <w:vertAlign w:val="baseline"/>
      </w:rPr>
    </w:lvl>
    <w:lvl w:ilvl="4">
      <w:start w:val="1"/>
      <w:numFmt w:val="lowerLetter"/>
      <w:suff w:val="nothing"/>
      <w:lvlText w:val="%5."/>
      <w:lvlJc w:val="left"/>
      <w:pPr>
        <w:ind w:left="0" w:firstLine="2880"/>
      </w:pPr>
      <w:rPr>
        <w:rFonts w:hint="default"/>
        <w:b/>
        <w:caps w:val="0"/>
        <w:smallCaps w:val="0"/>
        <w:strike w:val="0"/>
        <w:dstrike w:val="0"/>
        <w:vanish w:val="0"/>
        <w:color w:val="000000"/>
        <w:position w:val="0"/>
        <w:sz w:val="24"/>
        <w:vertAlign w:val="baseline"/>
      </w:rPr>
    </w:lvl>
    <w:lvl w:ilvl="5">
      <w:start w:val="1"/>
      <w:numFmt w:val="lowerRoman"/>
      <w:suff w:val="nothing"/>
      <w:lvlText w:val="%6."/>
      <w:lvlJc w:val="left"/>
      <w:pPr>
        <w:ind w:left="0" w:firstLine="3600"/>
      </w:pPr>
      <w:rPr>
        <w:rFonts w:hint="default"/>
        <w:b/>
        <w:caps w:val="0"/>
        <w:smallCaps w:val="0"/>
        <w:strike w:val="0"/>
        <w:dstrike w:val="0"/>
        <w:vanish w:val="0"/>
        <w:color w:val="000000"/>
        <w:position w:val="0"/>
        <w:sz w:val="24"/>
        <w:vertAlign w:val="baseline"/>
      </w:rPr>
    </w:lvl>
    <w:lvl w:ilvl="6">
      <w:start w:val="1"/>
      <w:numFmt w:val="decimal"/>
      <w:isLgl/>
      <w:suff w:val="nothing"/>
      <w:lvlText w:val="%7)"/>
      <w:lvlJc w:val="left"/>
      <w:pPr>
        <w:ind w:left="0" w:firstLine="4320"/>
      </w:pPr>
      <w:rPr>
        <w:rFonts w:hint="default"/>
        <w:b/>
        <w:caps w:val="0"/>
        <w:smallCaps w:val="0"/>
        <w:strike w:val="0"/>
        <w:dstrike w:val="0"/>
        <w:vanish w:val="0"/>
        <w:color w:val="000000"/>
        <w:position w:val="0"/>
        <w:sz w:val="24"/>
        <w:vertAlign w:val="baseline"/>
      </w:rPr>
    </w:lvl>
    <w:lvl w:ilvl="7">
      <w:start w:val="1"/>
      <w:numFmt w:val="lowerLetter"/>
      <w:suff w:val="nothing"/>
      <w:lvlText w:val="%8)"/>
      <w:lvlJc w:val="left"/>
      <w:pPr>
        <w:ind w:left="0" w:firstLine="5040"/>
      </w:pPr>
      <w:rPr>
        <w:rFonts w:hint="default"/>
        <w:b/>
        <w:caps w:val="0"/>
        <w:smallCaps w:val="0"/>
        <w:strike w:val="0"/>
        <w:dstrike w:val="0"/>
        <w:vanish w:val="0"/>
        <w:color w:val="000000"/>
        <w:position w:val="0"/>
        <w:sz w:val="24"/>
        <w:vertAlign w:val="baseline"/>
      </w:rPr>
    </w:lvl>
    <w:lvl w:ilvl="8">
      <w:start w:val="1"/>
      <w:numFmt w:val="lowerRoman"/>
      <w:suff w:val="nothing"/>
      <w:lvlText w:val="%9)"/>
      <w:lvlJc w:val="left"/>
      <w:pPr>
        <w:ind w:left="0" w:firstLine="5760"/>
      </w:pPr>
      <w:rPr>
        <w:rFonts w:hint="default"/>
        <w:b/>
        <w:caps w:val="0"/>
        <w:smallCaps w:val="0"/>
        <w:strike w:val="0"/>
        <w:dstrike w:val="0"/>
        <w:vanish w:val="0"/>
        <w:color w:val="000000"/>
        <w:position w:val="0"/>
        <w:sz w:val="24"/>
        <w:vertAlign w:val="baseline"/>
      </w:rPr>
    </w:lvl>
  </w:abstractNum>
  <w:abstractNum w:abstractNumId="2" w15:restartNumberingAfterBreak="0">
    <w:nsid w:val="022B61B5"/>
    <w:multiLevelType w:val="hybridMultilevel"/>
    <w:tmpl w:val="D444B08C"/>
    <w:lvl w:ilvl="0" w:tplc="C0AC22B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475CF"/>
    <w:multiLevelType w:val="hybridMultilevel"/>
    <w:tmpl w:val="CE866A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27899"/>
    <w:multiLevelType w:val="hybridMultilevel"/>
    <w:tmpl w:val="D444B08C"/>
    <w:lvl w:ilvl="0" w:tplc="C0AC22B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939C6"/>
    <w:multiLevelType w:val="multilevel"/>
    <w:tmpl w:val="84E01A10"/>
    <w:styleLink w:val="StandardList4"/>
    <w:lvl w:ilvl="0">
      <w:start w:val="1"/>
      <w:numFmt w:val="decimal"/>
      <w:lvlText w:val="%1"/>
      <w:lvlJc w:val="right"/>
      <w:pPr>
        <w:tabs>
          <w:tab w:val="num" w:pos="567"/>
        </w:tabs>
        <w:ind w:left="567" w:hanging="452"/>
      </w:pPr>
      <w:rPr>
        <w:rFonts w:ascii="Arial" w:hAnsi="Arial" w:cs="Arial"/>
        <w:b/>
        <w:sz w:val="24"/>
      </w:rPr>
    </w:lvl>
    <w:lvl w:ilvl="1">
      <w:start w:val="1"/>
      <w:numFmt w:val="decimal"/>
      <w:lvlText w:val="%1.%2"/>
      <w:lvlJc w:val="right"/>
      <w:pPr>
        <w:tabs>
          <w:tab w:val="num" w:pos="567"/>
        </w:tabs>
        <w:ind w:left="567" w:hanging="452"/>
      </w:pPr>
      <w:rPr>
        <w:rFonts w:ascii="Arial" w:hAnsi="Arial" w:cs="Arial"/>
        <w:sz w:val="20"/>
      </w:rPr>
    </w:lvl>
    <w:lvl w:ilvl="2">
      <w:start w:val="1"/>
      <w:numFmt w:val="lowerLetter"/>
      <w:lvlText w:val="(%3)"/>
      <w:lvlJc w:val="left"/>
      <w:pPr>
        <w:tabs>
          <w:tab w:val="num" w:pos="1134"/>
        </w:tabs>
        <w:ind w:left="1134" w:hanging="578"/>
      </w:pPr>
      <w:rPr>
        <w:rFonts w:ascii="Arial" w:hAnsi="Arial" w:cs="Arial"/>
        <w:sz w:val="20"/>
      </w:rPr>
    </w:lvl>
    <w:lvl w:ilvl="3">
      <w:start w:val="1"/>
      <w:numFmt w:val="lowerRoman"/>
      <w:lvlText w:val="(%4)"/>
      <w:lvlJc w:val="left"/>
      <w:pPr>
        <w:tabs>
          <w:tab w:val="num" w:pos="1843"/>
        </w:tabs>
        <w:ind w:left="1843" w:hanging="567"/>
      </w:pPr>
      <w:rPr>
        <w:rFonts w:ascii="Arial" w:hAnsi="Arial" w:cs="Arial"/>
        <w:sz w:val="20"/>
      </w:rPr>
    </w:lvl>
    <w:lvl w:ilvl="4">
      <w:start w:val="1"/>
      <w:numFmt w:val="upperLetter"/>
      <w:lvlText w:val="(%5)"/>
      <w:lvlJc w:val="left"/>
      <w:pPr>
        <w:tabs>
          <w:tab w:val="num" w:pos="2268"/>
        </w:tabs>
        <w:ind w:left="2268" w:hanging="567"/>
      </w:pPr>
      <w:rPr>
        <w:rFonts w:ascii="Arial" w:hAnsi="Arial" w:cs="Arial"/>
        <w:sz w:val="20"/>
      </w:rPr>
    </w:lvl>
    <w:lvl w:ilvl="5">
      <w:start w:val="1"/>
      <w:numFmt w:val="decimal"/>
      <w:lvlText w:val="(%6)"/>
      <w:lvlJc w:val="left"/>
      <w:pPr>
        <w:tabs>
          <w:tab w:val="num" w:pos="2835"/>
        </w:tabs>
        <w:ind w:left="2835" w:hanging="567"/>
      </w:pPr>
      <w:rPr>
        <w:rFonts w:ascii="Arial" w:hAnsi="Arial" w:cs="Arial"/>
        <w:sz w:val="20"/>
      </w:rPr>
    </w:lvl>
    <w:lvl w:ilvl="6">
      <w:start w:val="1"/>
      <w:numFmt w:val="upperRoman"/>
      <w:lvlText w:val="(%7)"/>
      <w:lvlJc w:val="left"/>
      <w:pPr>
        <w:tabs>
          <w:tab w:val="num" w:pos="3402"/>
        </w:tabs>
        <w:ind w:left="3402" w:hanging="567"/>
      </w:pPr>
      <w:rPr>
        <w:rFonts w:ascii="Arial" w:hAnsi="Arial" w:cs="Arial"/>
        <w:sz w:val="20"/>
      </w:rPr>
    </w:lvl>
    <w:lvl w:ilvl="7">
      <w:start w:val="1"/>
      <w:numFmt w:val="lowerLetter"/>
      <w:lvlText w:val="%8."/>
      <w:lvlJc w:val="left"/>
      <w:pPr>
        <w:tabs>
          <w:tab w:val="num" w:pos="3969"/>
        </w:tabs>
        <w:ind w:left="3969" w:hanging="567"/>
      </w:pPr>
      <w:rPr>
        <w:rFonts w:ascii="Arial" w:hAnsi="Arial" w:cs="Arial"/>
        <w:sz w:val="20"/>
      </w:rPr>
    </w:lvl>
    <w:lvl w:ilvl="8">
      <w:start w:val="1"/>
      <w:numFmt w:val="lowerRoman"/>
      <w:lvlText w:val="%9."/>
      <w:lvlJc w:val="left"/>
      <w:pPr>
        <w:tabs>
          <w:tab w:val="num" w:pos="4535"/>
        </w:tabs>
        <w:ind w:left="4535" w:hanging="566"/>
      </w:pPr>
      <w:rPr>
        <w:rFonts w:ascii="Arial" w:hAnsi="Arial" w:cs="Arial"/>
        <w:sz w:val="20"/>
      </w:rPr>
    </w:lvl>
  </w:abstractNum>
  <w:abstractNum w:abstractNumId="6" w15:restartNumberingAfterBreak="0">
    <w:nsid w:val="16903A3F"/>
    <w:multiLevelType w:val="multilevel"/>
    <w:tmpl w:val="EFB6A202"/>
    <w:styleLink w:val="Legal3List"/>
    <w:lvl w:ilvl="0">
      <w:start w:val="1"/>
      <w:numFmt w:val="decimal"/>
      <w:pStyle w:val="Legal3L1"/>
      <w:lvlText w:val="%1"/>
      <w:lvlJc w:val="right"/>
      <w:pPr>
        <w:tabs>
          <w:tab w:val="num" w:pos="596"/>
        </w:tabs>
        <w:ind w:left="596" w:hanging="454"/>
      </w:pPr>
      <w:rPr>
        <w:rFonts w:ascii="Arial" w:hAnsi="Arial" w:cs="Arial"/>
        <w:b/>
        <w:color w:val="000000"/>
        <w:sz w:val="24"/>
      </w:rPr>
    </w:lvl>
    <w:lvl w:ilvl="1">
      <w:start w:val="1"/>
      <w:numFmt w:val="decimal"/>
      <w:pStyle w:val="Legal3L2"/>
      <w:isLgl/>
      <w:lvlText w:val="%1.%2"/>
      <w:lvlJc w:val="right"/>
      <w:pPr>
        <w:tabs>
          <w:tab w:val="num" w:pos="567"/>
        </w:tabs>
        <w:ind w:left="567" w:hanging="454"/>
      </w:pPr>
      <w:rPr>
        <w:rFonts w:ascii="Arial" w:hAnsi="Arial" w:cs="Arial"/>
        <w:color w:val="000000"/>
        <w:sz w:val="20"/>
      </w:rPr>
    </w:lvl>
    <w:lvl w:ilvl="2">
      <w:start w:val="1"/>
      <w:numFmt w:val="decimal"/>
      <w:pStyle w:val="Legal3L3"/>
      <w:isLgl/>
      <w:lvlText w:val="%1.%2.%3"/>
      <w:lvlJc w:val="right"/>
      <w:pPr>
        <w:tabs>
          <w:tab w:val="num" w:pos="567"/>
        </w:tabs>
        <w:ind w:left="567" w:hanging="454"/>
      </w:pPr>
      <w:rPr>
        <w:rFonts w:ascii="Arial" w:hAnsi="Arial" w:cs="Arial"/>
        <w:sz w:val="20"/>
      </w:rPr>
    </w:lvl>
    <w:lvl w:ilvl="3">
      <w:start w:val="1"/>
      <w:numFmt w:val="lowerLetter"/>
      <w:pStyle w:val="Legal3L4"/>
      <w:lvlText w:val="(%4)"/>
      <w:lvlJc w:val="left"/>
      <w:pPr>
        <w:tabs>
          <w:tab w:val="num" w:pos="1134"/>
        </w:tabs>
        <w:ind w:left="1134" w:hanging="567"/>
      </w:pPr>
      <w:rPr>
        <w:rFonts w:ascii="Arial" w:hAnsi="Arial" w:cs="Arial"/>
        <w:sz w:val="20"/>
      </w:rPr>
    </w:lvl>
    <w:lvl w:ilvl="4">
      <w:start w:val="1"/>
      <w:numFmt w:val="lowerRoman"/>
      <w:pStyle w:val="Legal3L5"/>
      <w:lvlText w:val="(%5)"/>
      <w:lvlJc w:val="left"/>
      <w:pPr>
        <w:tabs>
          <w:tab w:val="num" w:pos="1701"/>
        </w:tabs>
        <w:ind w:left="1701" w:hanging="567"/>
      </w:pPr>
      <w:rPr>
        <w:rFonts w:ascii="Arial" w:hAnsi="Arial" w:cs="Arial"/>
        <w:sz w:val="20"/>
      </w:rPr>
    </w:lvl>
    <w:lvl w:ilvl="5">
      <w:start w:val="1"/>
      <w:numFmt w:val="upperLetter"/>
      <w:pStyle w:val="Legal3L6"/>
      <w:lvlText w:val="%6)"/>
      <w:lvlJc w:val="left"/>
      <w:pPr>
        <w:tabs>
          <w:tab w:val="num" w:pos="2268"/>
        </w:tabs>
        <w:ind w:left="2268" w:hanging="567"/>
      </w:pPr>
      <w:rPr>
        <w:rFonts w:ascii="Arial" w:hAnsi="Arial" w:cs="Arial"/>
        <w:sz w:val="20"/>
      </w:rPr>
    </w:lvl>
    <w:lvl w:ilvl="6">
      <w:start w:val="1"/>
      <w:numFmt w:val="decimal"/>
      <w:pStyle w:val="Legal3L7"/>
      <w:lvlText w:val="%7)"/>
      <w:lvlJc w:val="left"/>
      <w:pPr>
        <w:tabs>
          <w:tab w:val="num" w:pos="2835"/>
        </w:tabs>
        <w:ind w:left="2835" w:hanging="567"/>
      </w:pPr>
      <w:rPr>
        <w:rFonts w:ascii="Arial" w:hAnsi="Arial" w:cs="Arial"/>
        <w:sz w:val="20"/>
      </w:rPr>
    </w:lvl>
    <w:lvl w:ilvl="7">
      <w:start w:val="1"/>
      <w:numFmt w:val="lowerLetter"/>
      <w:pStyle w:val="Legal3L8"/>
      <w:lvlText w:val="%8)"/>
      <w:lvlJc w:val="left"/>
      <w:pPr>
        <w:tabs>
          <w:tab w:val="num" w:pos="3402"/>
        </w:tabs>
        <w:ind w:left="3402" w:hanging="567"/>
      </w:pPr>
      <w:rPr>
        <w:rFonts w:ascii="Arial" w:hAnsi="Arial" w:cs="Arial"/>
        <w:sz w:val="20"/>
      </w:rPr>
    </w:lvl>
    <w:lvl w:ilvl="8">
      <w:start w:val="1"/>
      <w:numFmt w:val="lowerRoman"/>
      <w:pStyle w:val="Legal3L9"/>
      <w:lvlText w:val="%9)"/>
      <w:lvlJc w:val="left"/>
      <w:pPr>
        <w:tabs>
          <w:tab w:val="num" w:pos="3969"/>
        </w:tabs>
        <w:ind w:left="3969" w:hanging="567"/>
      </w:pPr>
      <w:rPr>
        <w:rFonts w:ascii="Arial" w:hAnsi="Arial" w:cs="Arial"/>
        <w:sz w:val="20"/>
      </w:rPr>
    </w:lvl>
  </w:abstractNum>
  <w:abstractNum w:abstractNumId="7" w15:restartNumberingAfterBreak="0">
    <w:nsid w:val="1C7B594B"/>
    <w:multiLevelType w:val="hybridMultilevel"/>
    <w:tmpl w:val="9F8070AA"/>
    <w:lvl w:ilvl="0" w:tplc="4BE29F0C">
      <w:start w:val="1"/>
      <w:numFmt w:val="decimal"/>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8730F2"/>
    <w:multiLevelType w:val="multilevel"/>
    <w:tmpl w:val="0A22039E"/>
    <w:name w:val="(Unnamed Numbering Scheme)2"/>
    <w:lvl w:ilvl="0">
      <w:start w:val="1"/>
      <w:numFmt w:val="decimal"/>
      <w:lvlRestart w:val="0"/>
      <w:lvlText w:val="%1."/>
      <w:lvlJc w:val="left"/>
      <w:pPr>
        <w:ind w:left="360" w:hanging="360"/>
      </w:pPr>
      <w:rPr>
        <w:rFonts w:hint="default"/>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50D3028"/>
    <w:multiLevelType w:val="multilevel"/>
    <w:tmpl w:val="E488C448"/>
    <w:name w:val="_Simple-412904439-F"/>
    <w:styleLink w:val="Legal3List1"/>
    <w:lvl w:ilvl="0">
      <w:start w:val="1"/>
      <w:numFmt w:val="upperRoman"/>
      <w:pStyle w:val="SimpleL1"/>
      <w:lvlText w:val="%1."/>
      <w:lvlJc w:val="right"/>
      <w:pPr>
        <w:ind w:left="360" w:hanging="360"/>
      </w:pPr>
      <w:rPr>
        <w:rFonts w:hint="default"/>
        <w:sz w:val="20"/>
      </w:rPr>
    </w:lvl>
    <w:lvl w:ilvl="1">
      <w:start w:val="1"/>
      <w:numFmt w:val="lowerLetter"/>
      <w:pStyle w:val="SimpleL2"/>
      <w:lvlText w:val="(%2)"/>
      <w:lvlJc w:val="left"/>
      <w:pPr>
        <w:tabs>
          <w:tab w:val="num" w:pos="1134"/>
        </w:tabs>
        <w:ind w:left="1134" w:hanging="567"/>
      </w:pPr>
      <w:rPr>
        <w:rFonts w:ascii="Arial" w:hAnsi="Arial" w:cs="Arial"/>
        <w:sz w:val="20"/>
      </w:rPr>
    </w:lvl>
    <w:lvl w:ilvl="2">
      <w:start w:val="1"/>
      <w:numFmt w:val="lowerRoman"/>
      <w:pStyle w:val="SimpleL3"/>
      <w:lvlText w:val="(%3)"/>
      <w:lvlJc w:val="left"/>
      <w:pPr>
        <w:tabs>
          <w:tab w:val="num" w:pos="1701"/>
        </w:tabs>
        <w:ind w:left="1701" w:hanging="567"/>
      </w:pPr>
      <w:rPr>
        <w:rFonts w:ascii="Arial" w:hAnsi="Arial" w:cs="Arial"/>
        <w:sz w:val="20"/>
      </w:rPr>
    </w:lvl>
    <w:lvl w:ilvl="3">
      <w:start w:val="1"/>
      <w:numFmt w:val="upperLetter"/>
      <w:pStyle w:val="SimpleL4"/>
      <w:lvlText w:val="(%4)"/>
      <w:lvlJc w:val="left"/>
      <w:pPr>
        <w:tabs>
          <w:tab w:val="num" w:pos="2268"/>
        </w:tabs>
        <w:ind w:left="2268" w:hanging="567"/>
      </w:pPr>
      <w:rPr>
        <w:rFonts w:ascii="Arial" w:hAnsi="Arial" w:cs="Arial"/>
        <w:sz w:val="20"/>
      </w:rPr>
    </w:lvl>
    <w:lvl w:ilvl="4">
      <w:start w:val="1"/>
      <w:numFmt w:val="decimal"/>
      <w:pStyle w:val="SimpleL5"/>
      <w:lvlText w:val="%5)"/>
      <w:lvlJc w:val="left"/>
      <w:pPr>
        <w:tabs>
          <w:tab w:val="num" w:pos="2835"/>
        </w:tabs>
        <w:ind w:left="2835" w:hanging="567"/>
      </w:pPr>
      <w:rPr>
        <w:rFonts w:ascii="Arial" w:hAnsi="Arial" w:cs="Arial"/>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2D377E"/>
    <w:multiLevelType w:val="hybridMultilevel"/>
    <w:tmpl w:val="EB0A9758"/>
    <w:lvl w:ilvl="0" w:tplc="3124C3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06133"/>
    <w:multiLevelType w:val="hybridMultilevel"/>
    <w:tmpl w:val="D444B08C"/>
    <w:lvl w:ilvl="0" w:tplc="C0AC22B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C7110"/>
    <w:multiLevelType w:val="hybridMultilevel"/>
    <w:tmpl w:val="A5C88958"/>
    <w:lvl w:ilvl="0" w:tplc="54E685AC">
      <w:start w:val="1"/>
      <w:numFmt w:val="upperRoman"/>
      <w:lvlText w:val="%1."/>
      <w:lvlJc w:val="left"/>
      <w:pPr>
        <w:ind w:left="1080" w:hanging="720"/>
      </w:pPr>
      <w:rPr>
        <w:rFonts w:ascii="Arial" w:hAnsi="Arial" w:cs="Arial" w:hint="default"/>
        <w:b/>
        <w:color w:val="D42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4720"/>
    <w:multiLevelType w:val="hybridMultilevel"/>
    <w:tmpl w:val="566E25EA"/>
    <w:lvl w:ilvl="0" w:tplc="FF864B6C">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9218F3"/>
    <w:multiLevelType w:val="multilevel"/>
    <w:tmpl w:val="894EE87B"/>
    <w:lvl w:ilvl="0">
      <w:start w:val="5"/>
      <w:numFmt w:val="decimal"/>
      <w:isLgl/>
      <w:suff w:val="nothing"/>
      <w:lvlText w:val="%1."/>
      <w:lvlJc w:val="left"/>
      <w:pPr>
        <w:ind w:left="0" w:firstLine="0"/>
      </w:pPr>
      <w:rPr>
        <w:rFonts w:hint="default"/>
        <w:b/>
        <w:caps w:val="0"/>
        <w:smallCaps w:val="0"/>
        <w:strike w:val="0"/>
        <w:dstrike w:val="0"/>
        <w:vanish w:val="0"/>
        <w:color w:val="000000"/>
        <w:position w:val="0"/>
        <w:sz w:val="24"/>
        <w:vertAlign w:val="baseline"/>
      </w:rPr>
    </w:lvl>
    <w:lvl w:ilvl="1">
      <w:start w:val="2"/>
      <w:numFmt w:val="lowerLetter"/>
      <w:suff w:val="nothing"/>
      <w:lvlText w:val="(%2)"/>
      <w:lvlJc w:val="left"/>
      <w:pPr>
        <w:ind w:left="0" w:firstLine="720"/>
      </w:pPr>
      <w:rPr>
        <w:rFonts w:hint="default"/>
        <w:b/>
        <w:caps w:val="0"/>
        <w:smallCaps w:val="0"/>
        <w:strike w:val="0"/>
        <w:dstrike w:val="0"/>
        <w:vanish w:val="0"/>
        <w:color w:val="000000"/>
        <w:position w:val="0"/>
        <w:sz w:val="24"/>
        <w:vertAlign w:val="baseline"/>
      </w:rPr>
    </w:lvl>
    <w:lvl w:ilvl="2">
      <w:start w:val="1"/>
      <w:numFmt w:val="lowerRoman"/>
      <w:lvlText w:val="(%3)"/>
      <w:lvlJc w:val="left"/>
      <w:pPr>
        <w:tabs>
          <w:tab w:val="num" w:pos="720"/>
        </w:tabs>
        <w:ind w:left="720" w:firstLine="0"/>
      </w:pPr>
      <w:rPr>
        <w:rFonts w:hint="default"/>
        <w:b/>
        <w:caps w:val="0"/>
        <w:smallCaps w:val="0"/>
        <w:strike w:val="0"/>
        <w:dstrike w:val="0"/>
        <w:vanish w:val="0"/>
        <w:color w:val="000000"/>
        <w:position w:val="0"/>
        <w:sz w:val="24"/>
        <w:vertAlign w:val="baseline"/>
      </w:rPr>
    </w:lvl>
    <w:lvl w:ilvl="3">
      <w:start w:val="1"/>
      <w:numFmt w:val="decimal"/>
      <w:isLgl/>
      <w:suff w:val="nothing"/>
      <w:lvlText w:val="(%4)"/>
      <w:lvlJc w:val="left"/>
      <w:pPr>
        <w:ind w:left="0" w:firstLine="2160"/>
      </w:pPr>
      <w:rPr>
        <w:rFonts w:hint="default"/>
        <w:b/>
        <w:caps w:val="0"/>
        <w:smallCaps w:val="0"/>
        <w:strike w:val="0"/>
        <w:dstrike w:val="0"/>
        <w:vanish w:val="0"/>
        <w:color w:val="000000"/>
        <w:position w:val="0"/>
        <w:sz w:val="24"/>
        <w:vertAlign w:val="baseline"/>
      </w:rPr>
    </w:lvl>
    <w:lvl w:ilvl="4">
      <w:start w:val="1"/>
      <w:numFmt w:val="lowerLetter"/>
      <w:suff w:val="nothing"/>
      <w:lvlText w:val="%5."/>
      <w:lvlJc w:val="left"/>
      <w:pPr>
        <w:ind w:left="0" w:firstLine="2880"/>
      </w:pPr>
      <w:rPr>
        <w:rFonts w:hint="default"/>
        <w:b/>
        <w:caps w:val="0"/>
        <w:smallCaps w:val="0"/>
        <w:strike w:val="0"/>
        <w:dstrike w:val="0"/>
        <w:vanish w:val="0"/>
        <w:color w:val="000000"/>
        <w:position w:val="0"/>
        <w:sz w:val="24"/>
        <w:vertAlign w:val="baseline"/>
      </w:rPr>
    </w:lvl>
    <w:lvl w:ilvl="5">
      <w:start w:val="1"/>
      <w:numFmt w:val="lowerRoman"/>
      <w:suff w:val="nothing"/>
      <w:lvlText w:val="%6."/>
      <w:lvlJc w:val="left"/>
      <w:pPr>
        <w:ind w:left="0" w:firstLine="3600"/>
      </w:pPr>
      <w:rPr>
        <w:rFonts w:hint="default"/>
        <w:b/>
        <w:caps w:val="0"/>
        <w:smallCaps w:val="0"/>
        <w:strike w:val="0"/>
        <w:dstrike w:val="0"/>
        <w:vanish w:val="0"/>
        <w:color w:val="000000"/>
        <w:position w:val="0"/>
        <w:sz w:val="24"/>
        <w:vertAlign w:val="baseline"/>
      </w:rPr>
    </w:lvl>
    <w:lvl w:ilvl="6">
      <w:start w:val="1"/>
      <w:numFmt w:val="decimal"/>
      <w:isLgl/>
      <w:suff w:val="nothing"/>
      <w:lvlText w:val="%7)"/>
      <w:lvlJc w:val="left"/>
      <w:pPr>
        <w:ind w:left="0" w:firstLine="4320"/>
      </w:pPr>
      <w:rPr>
        <w:rFonts w:hint="default"/>
        <w:b/>
        <w:caps w:val="0"/>
        <w:smallCaps w:val="0"/>
        <w:strike w:val="0"/>
        <w:dstrike w:val="0"/>
        <w:vanish w:val="0"/>
        <w:color w:val="000000"/>
        <w:position w:val="0"/>
        <w:sz w:val="24"/>
        <w:vertAlign w:val="baseline"/>
      </w:rPr>
    </w:lvl>
    <w:lvl w:ilvl="7">
      <w:start w:val="1"/>
      <w:numFmt w:val="lowerLetter"/>
      <w:suff w:val="nothing"/>
      <w:lvlText w:val="%8)"/>
      <w:lvlJc w:val="left"/>
      <w:pPr>
        <w:ind w:left="0" w:firstLine="5040"/>
      </w:pPr>
      <w:rPr>
        <w:rFonts w:hint="default"/>
        <w:b/>
        <w:caps w:val="0"/>
        <w:smallCaps w:val="0"/>
        <w:strike w:val="0"/>
        <w:dstrike w:val="0"/>
        <w:vanish w:val="0"/>
        <w:color w:val="000000"/>
        <w:position w:val="0"/>
        <w:sz w:val="24"/>
        <w:vertAlign w:val="baseline"/>
      </w:rPr>
    </w:lvl>
    <w:lvl w:ilvl="8">
      <w:start w:val="1"/>
      <w:numFmt w:val="lowerRoman"/>
      <w:suff w:val="nothing"/>
      <w:lvlText w:val="%9)"/>
      <w:lvlJc w:val="left"/>
      <w:pPr>
        <w:ind w:left="0" w:firstLine="5760"/>
      </w:pPr>
      <w:rPr>
        <w:rFonts w:hint="default"/>
        <w:b/>
        <w:caps w:val="0"/>
        <w:smallCaps w:val="0"/>
        <w:strike w:val="0"/>
        <w:dstrike w:val="0"/>
        <w:vanish w:val="0"/>
        <w:color w:val="000000"/>
        <w:position w:val="0"/>
        <w:sz w:val="24"/>
        <w:vertAlign w:val="baseline"/>
      </w:rPr>
    </w:lvl>
  </w:abstractNum>
  <w:abstractNum w:abstractNumId="15" w15:restartNumberingAfterBreak="0">
    <w:nsid w:val="3E101CCC"/>
    <w:multiLevelType w:val="multilevel"/>
    <w:tmpl w:val="344255D2"/>
    <w:name w:val="zzmpTabbed||Tabbed|2|1|1|1|0|1||1|0|1||mpNA||mpNA||mpNA||mpNA||mpNA||mpNA||mpNA||"/>
    <w:lvl w:ilvl="0">
      <w:start w:val="1"/>
      <w:numFmt w:val="decimal"/>
      <w:pStyle w:val="TabbedL1"/>
      <w:lvlText w:val="%1."/>
      <w:lvlJc w:val="left"/>
      <w:pPr>
        <w:tabs>
          <w:tab w:val="num" w:pos="1440"/>
        </w:tabs>
        <w:ind w:left="0" w:firstLine="720"/>
      </w:pPr>
      <w:rPr>
        <w:rFonts w:ascii="Times New Roman" w:hAnsi="Times New Roman"/>
        <w:b/>
        <w:i w:val="0"/>
        <w:caps w:val="0"/>
        <w:smallCaps w:val="0"/>
        <w:strike w:val="0"/>
        <w:dstrike w:val="0"/>
        <w:vanish w:val="0"/>
        <w:color w:val="000000"/>
        <w:sz w:val="24"/>
        <w:u w:val="none"/>
        <w:effect w:val="none"/>
        <w:vertAlign w:val="baseline"/>
      </w:rPr>
    </w:lvl>
    <w:lvl w:ilvl="1">
      <w:start w:val="1"/>
      <w:numFmt w:val="lowerLetter"/>
      <w:pStyle w:val="TabbedL2"/>
      <w:lvlText w:val="(%2)"/>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rPr>
    </w:lvl>
    <w:lvl w:ilvl="2">
      <w:start w:val="1"/>
      <w:numFmt w:val="lowerRoman"/>
      <w:lvlText w:val="(%3)"/>
      <w:lvlJc w:val="left"/>
      <w:pPr>
        <w:tabs>
          <w:tab w:val="num" w:pos="2880"/>
        </w:tabs>
        <w:ind w:left="0" w:firstLine="2160"/>
      </w:pPr>
      <w:rPr>
        <w:rFonts w:ascii="Times New Roman" w:hAnsi="Times New Roman"/>
        <w:b/>
        <w:i w:val="0"/>
        <w:caps w:val="0"/>
        <w:smallCaps w:val="0"/>
        <w:strike w:val="0"/>
        <w:dstrike w:val="0"/>
        <w:vanish w:val="0"/>
        <w:color w:val="000000"/>
        <w:sz w:val="24"/>
        <w:u w:val="none"/>
        <w:effect w:val="none"/>
        <w:vertAlign w:val="baseline"/>
      </w:rPr>
    </w:lvl>
    <w:lvl w:ilvl="3">
      <w:start w:val="1"/>
      <w:numFmt w:val="decimal"/>
      <w:lvlText w:val="(%4)"/>
      <w:lvlJc w:val="left"/>
      <w:pPr>
        <w:tabs>
          <w:tab w:val="num" w:pos="3600"/>
        </w:tabs>
        <w:ind w:left="0" w:firstLine="2880"/>
      </w:pPr>
      <w:rPr>
        <w:rFonts w:ascii="Times New Roman" w:hAnsi="Times New Roman"/>
        <w:b/>
        <w:i w:val="0"/>
        <w:caps w:val="0"/>
        <w:smallCaps w:val="0"/>
        <w:strike w:val="0"/>
        <w:dstrike w:val="0"/>
        <w:vanish w:val="0"/>
        <w:color w:val="000000"/>
        <w:sz w:val="24"/>
        <w:u w:val="none"/>
        <w:effect w:val="none"/>
        <w:vertAlign w:val="baseline"/>
      </w:rPr>
    </w:lvl>
    <w:lvl w:ilvl="4">
      <w:start w:val="1"/>
      <w:numFmt w:val="lowerLetter"/>
      <w:lvlText w:val="%5."/>
      <w:lvlJc w:val="left"/>
      <w:pPr>
        <w:tabs>
          <w:tab w:val="num" w:pos="4320"/>
        </w:tabs>
        <w:ind w:left="0" w:firstLine="3600"/>
      </w:pPr>
      <w:rPr>
        <w:rFonts w:ascii="Times New Roman" w:hAnsi="Times New Roman"/>
        <w:b/>
        <w:i w:val="0"/>
        <w:caps w:val="0"/>
        <w:smallCaps w:val="0"/>
        <w:strike w:val="0"/>
        <w:dstrike w:val="0"/>
        <w:vanish w:val="0"/>
        <w:color w:val="000000"/>
        <w:sz w:val="24"/>
        <w:u w:val="none"/>
        <w:effect w:val="none"/>
        <w:vertAlign w:val="baseline"/>
      </w:rPr>
    </w:lvl>
    <w:lvl w:ilvl="5">
      <w:start w:val="1"/>
      <w:numFmt w:val="lowerRoman"/>
      <w:lvlText w:val="%6."/>
      <w:lvlJc w:val="left"/>
      <w:pPr>
        <w:tabs>
          <w:tab w:val="num" w:pos="5040"/>
        </w:tabs>
        <w:ind w:left="0" w:firstLine="4320"/>
      </w:pPr>
      <w:rPr>
        <w:rFonts w:ascii="Times New Roman" w:hAnsi="Times New Roman"/>
        <w:b/>
        <w:i w:val="0"/>
        <w:caps w:val="0"/>
        <w:smallCaps w:val="0"/>
        <w:strike w:val="0"/>
        <w:dstrike w:val="0"/>
        <w:vanish w:val="0"/>
        <w:color w:val="000000"/>
        <w:sz w:val="24"/>
        <w:u w:val="none"/>
        <w:effect w:val="none"/>
        <w:vertAlign w:val="baseline"/>
      </w:rPr>
    </w:lvl>
    <w:lvl w:ilvl="6">
      <w:start w:val="1"/>
      <w:numFmt w:val="decimal"/>
      <w:lvlText w:val="%7)"/>
      <w:lvlJc w:val="left"/>
      <w:pPr>
        <w:tabs>
          <w:tab w:val="num" w:pos="5760"/>
        </w:tabs>
        <w:ind w:left="0" w:firstLine="5040"/>
      </w:pPr>
      <w:rPr>
        <w:rFonts w:ascii="Times New Roman" w:hAnsi="Times New Roman"/>
        <w:b/>
        <w:i w:val="0"/>
        <w:caps w:val="0"/>
        <w:smallCaps w:val="0"/>
        <w:strike w:val="0"/>
        <w:dstrike w:val="0"/>
        <w:vanish w:val="0"/>
        <w:color w:val="000000"/>
        <w:sz w:val="24"/>
        <w:u w:val="none"/>
        <w:effect w:val="none"/>
        <w:vertAlign w:val="baseline"/>
      </w:rPr>
    </w:lvl>
    <w:lvl w:ilvl="7">
      <w:start w:val="1"/>
      <w:numFmt w:val="lowerLetter"/>
      <w:lvlText w:val="%8)"/>
      <w:lvlJc w:val="left"/>
      <w:pPr>
        <w:tabs>
          <w:tab w:val="num" w:pos="6480"/>
        </w:tabs>
        <w:ind w:left="0" w:firstLine="5760"/>
      </w:pPr>
      <w:rPr>
        <w:rFonts w:ascii="Times New Roman" w:hAnsi="Times New Roman"/>
        <w:b/>
        <w:i w:val="0"/>
        <w:caps w:val="0"/>
        <w:smallCaps w:val="0"/>
        <w:strike w:val="0"/>
        <w:dstrike w:val="0"/>
        <w:vanish w:val="0"/>
        <w:color w:val="000000"/>
        <w:sz w:val="24"/>
        <w:u w:val="none"/>
        <w:effect w:val="none"/>
        <w:vertAlign w:val="baseline"/>
      </w:rPr>
    </w:lvl>
    <w:lvl w:ilvl="8">
      <w:start w:val="1"/>
      <w:numFmt w:val="lowerRoman"/>
      <w:lvlText w:val="%9)"/>
      <w:lvlJc w:val="left"/>
      <w:pPr>
        <w:tabs>
          <w:tab w:val="num" w:pos="7200"/>
        </w:tabs>
        <w:ind w:left="0" w:firstLine="6480"/>
      </w:pPr>
      <w:rPr>
        <w:rFonts w:ascii="Times New Roman" w:hAnsi="Times New Roman"/>
        <w:b/>
        <w:i w:val="0"/>
        <w:caps w:val="0"/>
        <w:smallCaps w:val="0"/>
        <w:strike w:val="0"/>
        <w:dstrike w:val="0"/>
        <w:vanish w:val="0"/>
        <w:color w:val="000000"/>
        <w:sz w:val="24"/>
        <w:u w:val="none"/>
        <w:effect w:val="none"/>
        <w:vertAlign w:val="baseline"/>
      </w:rPr>
    </w:lvl>
  </w:abstractNum>
  <w:abstractNum w:abstractNumId="16" w15:restartNumberingAfterBreak="0">
    <w:nsid w:val="409F63F8"/>
    <w:multiLevelType w:val="multilevel"/>
    <w:tmpl w:val="7E6212EA"/>
    <w:name w:val="zzmpStandard||Standard|2|1|1|1|0|17||1|0|1||1|0|1||1|0|1||1|0|1||1|0|1||1|0|1||1|0|1||1|0|1||"/>
    <w:lvl w:ilvl="0">
      <w:start w:val="1"/>
      <w:numFmt w:val="decimal"/>
      <w:lvlText w:val="%1."/>
      <w:lvlJc w:val="left"/>
      <w:pPr>
        <w:tabs>
          <w:tab w:val="num" w:pos="720"/>
        </w:tabs>
        <w:ind w:left="0" w:firstLine="0"/>
      </w:pPr>
      <w:rPr>
        <w:rFonts w:ascii="Times New Roman" w:hAnsi="Times New Roman"/>
        <w:b/>
        <w:i w:val="0"/>
        <w:caps w:val="0"/>
        <w:smallCaps w:val="0"/>
        <w:strike w:val="0"/>
        <w:dstrike w:val="0"/>
        <w:vanish w:val="0"/>
        <w:color w:val="000000"/>
        <w:sz w:val="24"/>
        <w:u w:val="none"/>
        <w:effect w:val="none"/>
        <w:vertAlign w:val="baseline"/>
      </w:rPr>
    </w:lvl>
    <w:lvl w:ilvl="1">
      <w:start w:val="1"/>
      <w:numFmt w:val="lowerLetter"/>
      <w:lvlText w:val="(%2)"/>
      <w:lvlJc w:val="left"/>
      <w:pPr>
        <w:tabs>
          <w:tab w:val="num" w:pos="1440"/>
        </w:tabs>
        <w:ind w:left="0" w:firstLine="720"/>
      </w:pPr>
      <w:rPr>
        <w:rFonts w:ascii="Times New Roman" w:hAnsi="Times New Roman"/>
        <w:b/>
        <w:i w:val="0"/>
        <w:caps w:val="0"/>
        <w:smallCaps w:val="0"/>
        <w:strike w:val="0"/>
        <w:dstrike w:val="0"/>
        <w:vanish w:val="0"/>
        <w:color w:val="000000"/>
        <w:sz w:val="24"/>
        <w:u w:val="none"/>
        <w:effect w:val="none"/>
        <w:vertAlign w:val="baseline"/>
      </w:rPr>
    </w:lvl>
    <w:lvl w:ilvl="2">
      <w:start w:val="1"/>
      <w:numFmt w:val="lowerRoman"/>
      <w:lvlText w:val="(%3)"/>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rPr>
    </w:lvl>
    <w:lvl w:ilvl="3">
      <w:start w:val="1"/>
      <w:numFmt w:val="decimal"/>
      <w:lvlText w:val="(%4)"/>
      <w:lvlJc w:val="left"/>
      <w:pPr>
        <w:tabs>
          <w:tab w:val="num" w:pos="2880"/>
        </w:tabs>
        <w:ind w:left="0" w:firstLine="2160"/>
      </w:pPr>
      <w:rPr>
        <w:rFonts w:ascii="Times New Roman" w:hAnsi="Times New Roman"/>
        <w:b/>
        <w:i w:val="0"/>
        <w:caps w:val="0"/>
        <w:smallCaps w:val="0"/>
        <w:strike w:val="0"/>
        <w:dstrike w:val="0"/>
        <w:vanish w:val="0"/>
        <w:color w:val="000000"/>
        <w:sz w:val="24"/>
        <w:u w:val="none"/>
        <w:effect w:val="none"/>
        <w:vertAlign w:val="baseline"/>
      </w:rPr>
    </w:lvl>
    <w:lvl w:ilvl="4">
      <w:start w:val="1"/>
      <w:numFmt w:val="lowerLetter"/>
      <w:lvlText w:val="%5."/>
      <w:lvlJc w:val="left"/>
      <w:pPr>
        <w:tabs>
          <w:tab w:val="num" w:pos="3600"/>
        </w:tabs>
        <w:ind w:left="0" w:firstLine="2880"/>
      </w:pPr>
      <w:rPr>
        <w:rFonts w:ascii="Times New Roman" w:hAnsi="Times New Roman"/>
        <w:b/>
        <w:i w:val="0"/>
        <w:caps w:val="0"/>
        <w:smallCaps w:val="0"/>
        <w:strike w:val="0"/>
        <w:dstrike w:val="0"/>
        <w:vanish w:val="0"/>
        <w:color w:val="000000"/>
        <w:sz w:val="24"/>
        <w:u w:val="none"/>
        <w:effect w:val="none"/>
        <w:vertAlign w:val="baseline"/>
      </w:rPr>
    </w:lvl>
    <w:lvl w:ilvl="5">
      <w:start w:val="1"/>
      <w:numFmt w:val="lowerRoman"/>
      <w:lvlText w:val="%6."/>
      <w:lvlJc w:val="left"/>
      <w:pPr>
        <w:tabs>
          <w:tab w:val="num" w:pos="4320"/>
        </w:tabs>
        <w:ind w:left="0" w:firstLine="3600"/>
      </w:pPr>
      <w:rPr>
        <w:rFonts w:ascii="Times New Roman" w:hAnsi="Times New Roman"/>
        <w:b/>
        <w:i w:val="0"/>
        <w:caps w:val="0"/>
        <w:smallCaps w:val="0"/>
        <w:strike w:val="0"/>
        <w:dstrike w:val="0"/>
        <w:vanish w:val="0"/>
        <w:color w:val="000000"/>
        <w:sz w:val="24"/>
        <w:u w:val="none"/>
        <w:effect w:val="none"/>
        <w:vertAlign w:val="baseline"/>
      </w:rPr>
    </w:lvl>
    <w:lvl w:ilvl="6">
      <w:start w:val="1"/>
      <w:numFmt w:val="decimal"/>
      <w:lvlText w:val="%7)"/>
      <w:lvlJc w:val="left"/>
      <w:pPr>
        <w:tabs>
          <w:tab w:val="num" w:pos="5040"/>
        </w:tabs>
        <w:ind w:left="0" w:firstLine="4320"/>
      </w:pPr>
      <w:rPr>
        <w:rFonts w:ascii="Times New Roman" w:hAnsi="Times New Roman"/>
        <w:b/>
        <w:i w:val="0"/>
        <w:caps w:val="0"/>
        <w:smallCaps w:val="0"/>
        <w:strike w:val="0"/>
        <w:dstrike w:val="0"/>
        <w:vanish w:val="0"/>
        <w:color w:val="000000"/>
        <w:sz w:val="24"/>
        <w:u w:val="none"/>
        <w:effect w:val="none"/>
        <w:vertAlign w:val="baseline"/>
      </w:rPr>
    </w:lvl>
    <w:lvl w:ilvl="7">
      <w:start w:val="1"/>
      <w:numFmt w:val="lowerLetter"/>
      <w:lvlText w:val="%8)"/>
      <w:lvlJc w:val="left"/>
      <w:pPr>
        <w:tabs>
          <w:tab w:val="num" w:pos="5760"/>
        </w:tabs>
        <w:ind w:left="0" w:firstLine="5040"/>
      </w:pPr>
      <w:rPr>
        <w:rFonts w:ascii="Times New Roman" w:hAnsi="Times New Roman"/>
        <w:b/>
        <w:i w:val="0"/>
        <w:caps w:val="0"/>
        <w:smallCaps w:val="0"/>
        <w:strike w:val="0"/>
        <w:dstrike w:val="0"/>
        <w:vanish w:val="0"/>
        <w:color w:val="000000"/>
        <w:sz w:val="24"/>
        <w:u w:val="none"/>
        <w:effect w:val="none"/>
        <w:vertAlign w:val="baseline"/>
      </w:rPr>
    </w:lvl>
    <w:lvl w:ilvl="8">
      <w:start w:val="1"/>
      <w:numFmt w:val="lowerRoman"/>
      <w:lvlText w:val="%9)"/>
      <w:lvlJc w:val="left"/>
      <w:pPr>
        <w:tabs>
          <w:tab w:val="num" w:pos="6480"/>
        </w:tabs>
        <w:ind w:left="0" w:firstLine="5760"/>
      </w:pPr>
      <w:rPr>
        <w:rFonts w:ascii="Times New Roman" w:hAnsi="Times New Roman"/>
        <w:b/>
        <w:i w:val="0"/>
        <w:caps w:val="0"/>
        <w:smallCaps w:val="0"/>
        <w:strike w:val="0"/>
        <w:dstrike w:val="0"/>
        <w:vanish w:val="0"/>
        <w:color w:val="000000"/>
        <w:sz w:val="24"/>
        <w:u w:val="none"/>
        <w:effect w:val="none"/>
        <w:vertAlign w:val="baseline"/>
      </w:rPr>
    </w:lvl>
  </w:abstractNum>
  <w:abstractNum w:abstractNumId="17" w15:restartNumberingAfterBreak="0">
    <w:nsid w:val="437F288F"/>
    <w:multiLevelType w:val="hybridMultilevel"/>
    <w:tmpl w:val="ACEC8032"/>
    <w:lvl w:ilvl="0" w:tplc="60A034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8F44CD"/>
    <w:multiLevelType w:val="hybridMultilevel"/>
    <w:tmpl w:val="3F0C28FE"/>
    <w:lvl w:ilvl="0" w:tplc="560443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0D11D3"/>
    <w:multiLevelType w:val="hybridMultilevel"/>
    <w:tmpl w:val="D1F08E36"/>
    <w:lvl w:ilvl="0" w:tplc="88E66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6C1AE4"/>
    <w:multiLevelType w:val="hybridMultilevel"/>
    <w:tmpl w:val="AC0E06C8"/>
    <w:lvl w:ilvl="0" w:tplc="A94AF50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C6AB7"/>
    <w:multiLevelType w:val="hybridMultilevel"/>
    <w:tmpl w:val="D444B08C"/>
    <w:lvl w:ilvl="0" w:tplc="C0AC22B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3040CE"/>
    <w:multiLevelType w:val="multilevel"/>
    <w:tmpl w:val="0409001D"/>
    <w:name w:val="(Unnamed Numbering Schem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34125E9"/>
    <w:multiLevelType w:val="multilevel"/>
    <w:tmpl w:val="EA4E40E4"/>
    <w:lvl w:ilvl="0">
      <w:start w:val="1"/>
      <w:numFmt w:val="decimal"/>
      <w:pStyle w:val="wcstandardah1"/>
      <w:lvlText w:val="%1."/>
      <w:lvlJc w:val="left"/>
      <w:pPr>
        <w:ind w:left="720" w:hanging="720"/>
      </w:pPr>
      <w:rPr>
        <w:rFonts w:ascii="Times New Roman" w:hAnsi="Times New Roman" w:cs="Times New Roman"/>
        <w:b/>
        <w:i w:val="0"/>
        <w:caps w:val="0"/>
        <w:strike w:val="0"/>
        <w:dstrike w:val="0"/>
        <w:vanish w:val="0"/>
        <w:color w:val="000000"/>
        <w:sz w:val="24"/>
        <w:u w:val="none"/>
        <w:effect w:val="none"/>
        <w:vertAlign w:val="baseline"/>
      </w:rPr>
    </w:lvl>
    <w:lvl w:ilvl="1">
      <w:start w:val="1"/>
      <w:numFmt w:val="decimal"/>
      <w:pStyle w:val="wcstandardah2"/>
      <w:isLgl/>
      <w:lvlText w:val="%1.%2"/>
      <w:lvlJc w:val="left"/>
      <w:pPr>
        <w:ind w:left="720" w:hanging="720"/>
      </w:pPr>
      <w:rPr>
        <w:rFonts w:ascii="Times New Roman" w:hAnsi="Times New Roman" w:cs="Times New Roman"/>
        <w:b w:val="0"/>
        <w:i w:val="0"/>
        <w:caps w:val="0"/>
        <w:strike w:val="0"/>
        <w:dstrike w:val="0"/>
        <w:vanish w:val="0"/>
        <w:color w:val="000000"/>
        <w:sz w:val="24"/>
        <w:u w:val="none"/>
        <w:effect w:val="none"/>
        <w:vertAlign w:val="baseline"/>
      </w:rPr>
    </w:lvl>
    <w:lvl w:ilvl="2">
      <w:start w:val="1"/>
      <w:numFmt w:val="lowerLetter"/>
      <w:pStyle w:val="wcstandardah3"/>
      <w:lvlText w:val="(%3)"/>
      <w:lvlJc w:val="left"/>
      <w:pPr>
        <w:ind w:left="1440" w:hanging="720"/>
      </w:pPr>
      <w:rPr>
        <w:rFonts w:ascii="Times New Roman" w:hAnsi="Times New Roman" w:cs="Times New Roman"/>
        <w:b w:val="0"/>
        <w:i w:val="0"/>
        <w:caps w:val="0"/>
        <w:strike w:val="0"/>
        <w:dstrike w:val="0"/>
        <w:vanish w:val="0"/>
        <w:color w:val="000000"/>
        <w:sz w:val="24"/>
        <w:u w:val="none"/>
        <w:effect w:val="none"/>
        <w:vertAlign w:val="baseline"/>
      </w:rPr>
    </w:lvl>
    <w:lvl w:ilvl="3">
      <w:start w:val="1"/>
      <w:numFmt w:val="lowerRoman"/>
      <w:pStyle w:val="wcstandardah4"/>
      <w:lvlText w:val="(%4)"/>
      <w:lvlJc w:val="left"/>
      <w:pPr>
        <w:ind w:left="2160" w:hanging="720"/>
      </w:pPr>
      <w:rPr>
        <w:rFonts w:ascii="Times New Roman" w:hAnsi="Times New Roman" w:cs="Times New Roman"/>
        <w:b w:val="0"/>
        <w:i w:val="0"/>
        <w:caps w:val="0"/>
        <w:strike w:val="0"/>
        <w:dstrike w:val="0"/>
        <w:vanish w:val="0"/>
        <w:color w:val="000000"/>
        <w:sz w:val="24"/>
        <w:szCs w:val="24"/>
        <w:u w:val="none"/>
        <w:effect w:val="none"/>
        <w:vertAlign w:val="baseline"/>
      </w:rPr>
    </w:lvl>
    <w:lvl w:ilvl="4">
      <w:start w:val="1"/>
      <w:numFmt w:val="upperLetter"/>
      <w:pStyle w:val="wcstandardah5"/>
      <w:lvlText w:val="(%5)"/>
      <w:lvlJc w:val="left"/>
      <w:pPr>
        <w:ind w:left="2880" w:hanging="720"/>
      </w:pPr>
      <w:rPr>
        <w:rFonts w:ascii="Times New Roman" w:hAnsi="Times New Roman" w:cs="Times New Roman"/>
        <w:b w:val="0"/>
        <w:i w:val="0"/>
        <w:caps w:val="0"/>
        <w:strike w:val="0"/>
        <w:dstrike w:val="0"/>
        <w:vanish w:val="0"/>
        <w:color w:val="000000"/>
        <w:sz w:val="24"/>
        <w:u w:val="none"/>
        <w:effect w:val="none"/>
        <w:vertAlign w:val="baseline"/>
      </w:rPr>
    </w:lvl>
    <w:lvl w:ilvl="5">
      <w:start w:val="1"/>
      <w:numFmt w:val="decimal"/>
      <w:pStyle w:val="wcstandardah3"/>
      <w:lvlText w:val="(%6)"/>
      <w:lvlJc w:val="left"/>
      <w:pPr>
        <w:ind w:left="3600" w:hanging="720"/>
      </w:pPr>
      <w:rPr>
        <w:rFonts w:ascii="Times New Roman" w:hAnsi="Times New Roman" w:cs="Times New Roman"/>
        <w:b w:val="0"/>
        <w:i w:val="0"/>
        <w:caps w:val="0"/>
        <w:strike w:val="0"/>
        <w:dstrike w:val="0"/>
        <w:vanish w:val="0"/>
        <w:color w:val="000000"/>
        <w:sz w:val="24"/>
        <w:u w:val="none"/>
        <w:effect w:val="none"/>
        <w:vertAlign w:val="baseline"/>
      </w:rPr>
    </w:lvl>
    <w:lvl w:ilvl="6">
      <w:start w:val="1"/>
      <w:numFmt w:val="upperRoman"/>
      <w:pStyle w:val="wcstandardah4"/>
      <w:lvlText w:val="(%7)"/>
      <w:lvlJc w:val="left"/>
      <w:pPr>
        <w:ind w:left="4320" w:hanging="720"/>
      </w:pPr>
      <w:rPr>
        <w:rFonts w:ascii="Times New Roman" w:hAnsi="Times New Roman" w:cs="Times New Roman"/>
        <w:b w:val="0"/>
        <w:i w:val="0"/>
        <w:caps w:val="0"/>
        <w:strike w:val="0"/>
        <w:dstrike w:val="0"/>
        <w:vanish w:val="0"/>
        <w:color w:val="000000"/>
        <w:sz w:val="24"/>
        <w:u w:val="none"/>
        <w:effect w:val="none"/>
        <w:vertAlign w:val="baseline"/>
      </w:rPr>
    </w:lvl>
    <w:lvl w:ilvl="7">
      <w:start w:val="1"/>
      <w:numFmt w:val="none"/>
      <w:pStyle w:val="wcstandardah5"/>
      <w:suff w:val="nothing"/>
      <w:lvlText w:val=""/>
      <w:lvlJc w:val="left"/>
      <w:rPr>
        <w:rFonts w:ascii="Times New Roman" w:hAnsi="Times New Roman" w:cs="Times New Roman"/>
        <w:b w:val="0"/>
        <w:i w:val="0"/>
        <w:caps w:val="0"/>
        <w:strike w:val="0"/>
        <w:dstrike w:val="0"/>
        <w:vanish w:val="0"/>
        <w:color w:val="000000"/>
        <w:sz w:val="24"/>
        <w:u w:val="none"/>
        <w:effect w:val="none"/>
        <w:vertAlign w:val="baseline"/>
      </w:rPr>
    </w:lvl>
    <w:lvl w:ilvl="8">
      <w:start w:val="1"/>
      <w:numFmt w:val="none"/>
      <w:suff w:val="nothing"/>
      <w:lvlText w:val=""/>
      <w:lvlJc w:val="left"/>
      <w:rPr>
        <w:rFonts w:ascii="Times New Roman" w:hAnsi="Times New Roman" w:cs="Times New Roman"/>
        <w:b w:val="0"/>
        <w:i w:val="0"/>
        <w:caps w:val="0"/>
        <w:strike w:val="0"/>
        <w:dstrike w:val="0"/>
        <w:vanish w:val="0"/>
        <w:color w:val="000000"/>
        <w:sz w:val="24"/>
        <w:u w:val="none"/>
        <w:effect w:val="none"/>
        <w:vertAlign w:val="baseline"/>
      </w:rPr>
    </w:lvl>
  </w:abstractNum>
  <w:abstractNum w:abstractNumId="24" w15:restartNumberingAfterBreak="0">
    <w:nsid w:val="58DC3AE4"/>
    <w:multiLevelType w:val="hybridMultilevel"/>
    <w:tmpl w:val="6AC68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C94883"/>
    <w:multiLevelType w:val="hybridMultilevel"/>
    <w:tmpl w:val="3F2C03F2"/>
    <w:lvl w:ilvl="0" w:tplc="CAD842F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1B0D34"/>
    <w:multiLevelType w:val="multilevel"/>
    <w:tmpl w:val="CD0AB212"/>
    <w:name w:val="(Unnamed Numbering Scheme)"/>
    <w:lvl w:ilvl="0">
      <w:start w:val="1"/>
      <w:numFmt w:val="decimal"/>
      <w:lvlText w:val="%1."/>
      <w:lvlJc w:val="left"/>
      <w:pPr>
        <w:tabs>
          <w:tab w:val="num" w:pos="720"/>
        </w:tabs>
        <w:ind w:left="720" w:hanging="720"/>
      </w:pPr>
      <w:rPr>
        <w:rFonts w:ascii="Times New Roman" w:hAnsi="Times New Roman" w:cs="Times New Roman" w:hint="default"/>
        <w:b/>
        <w:i w:val="0"/>
        <w:caps w:val="0"/>
        <w:smallCaps w:val="0"/>
        <w:color w:val="auto"/>
        <w:sz w:val="24"/>
        <w:szCs w:val="22"/>
        <w:u w:val="none"/>
      </w:rPr>
    </w:lvl>
    <w:lvl w:ilvl="1">
      <w:start w:val="1"/>
      <w:numFmt w:val="decimal"/>
      <w:pStyle w:val="Heading2"/>
      <w:isLgl/>
      <w:lvlText w:val="%1.%2"/>
      <w:lvlJc w:val="left"/>
      <w:pPr>
        <w:tabs>
          <w:tab w:val="num" w:pos="720"/>
        </w:tabs>
        <w:ind w:left="720" w:hanging="720"/>
      </w:pPr>
      <w:rPr>
        <w:rFonts w:ascii="Times New Roman" w:hAnsi="Times New Roman" w:cs="Times New Roman" w:hint="default"/>
        <w:b w:val="0"/>
        <w:i w:val="0"/>
        <w:caps w:val="0"/>
        <w:smallCaps w:val="0"/>
        <w:color w:val="auto"/>
        <w:sz w:val="24"/>
        <w:szCs w:val="24"/>
        <w:u w:val="none"/>
      </w:rPr>
    </w:lvl>
    <w:lvl w:ilvl="2">
      <w:start w:val="1"/>
      <w:numFmt w:val="lowerLetter"/>
      <w:pStyle w:val="Heading3"/>
      <w:lvlText w:val="(%3)"/>
      <w:lvlJc w:val="left"/>
      <w:pPr>
        <w:tabs>
          <w:tab w:val="num" w:pos="1440"/>
        </w:tabs>
        <w:ind w:left="1440" w:hanging="720"/>
      </w:pPr>
      <w:rPr>
        <w:rFonts w:ascii="Times New Roman" w:hAnsi="Times New Roman" w:cs="Times New Roman" w:hint="default"/>
        <w:b w:val="0"/>
        <w:i w:val="0"/>
        <w:caps w:val="0"/>
        <w:smallCaps w:val="0"/>
        <w:color w:val="auto"/>
        <w:u w:val="none"/>
      </w:rPr>
    </w:lvl>
    <w:lvl w:ilvl="3">
      <w:start w:val="1"/>
      <w:numFmt w:val="lowerRoman"/>
      <w:pStyle w:val="Heading4"/>
      <w:lvlText w:val="(%4)"/>
      <w:lvlJc w:val="left"/>
      <w:pPr>
        <w:tabs>
          <w:tab w:val="num" w:pos="2160"/>
        </w:tabs>
        <w:ind w:left="2160" w:hanging="720"/>
      </w:pPr>
    </w:lvl>
    <w:lvl w:ilvl="4">
      <w:start w:val="1"/>
      <w:numFmt w:val="decimal"/>
      <w:pStyle w:val="Heading5"/>
      <w:lvlText w:val="(%5)"/>
      <w:lvlJc w:val="left"/>
      <w:pPr>
        <w:tabs>
          <w:tab w:val="num" w:pos="2880"/>
        </w:tabs>
        <w:ind w:left="2880" w:hanging="720"/>
      </w:pPr>
      <w:rPr>
        <w:rFonts w:ascii="Times New Roman" w:hAnsi="Times New Roman" w:cs="Times New Roman" w:hint="default"/>
        <w:b w:val="0"/>
        <w:i w:val="0"/>
        <w:caps w:val="0"/>
        <w:smallCaps w:val="0"/>
        <w:color w:val="auto"/>
        <w:sz w:val="24"/>
        <w:u w:val="none"/>
      </w:rPr>
    </w:lvl>
    <w:lvl w:ilvl="5">
      <w:start w:val="1"/>
      <w:numFmt w:val="decimal"/>
      <w:pStyle w:val="Heading6"/>
      <w:isLgl/>
      <w:lvlText w:val="%6."/>
      <w:lvlJc w:val="left"/>
      <w:pPr>
        <w:tabs>
          <w:tab w:val="num" w:pos="720"/>
        </w:tabs>
        <w:ind w:left="720" w:hanging="720"/>
      </w:pPr>
      <w:rPr>
        <w:rFonts w:hint="default"/>
        <w:b/>
        <w:i w:val="0"/>
        <w:caps w:val="0"/>
        <w:smallCaps w:val="0"/>
        <w:color w:val="auto"/>
        <w:sz w:val="24"/>
        <w:u w:val="none"/>
      </w:rPr>
    </w:lvl>
    <w:lvl w:ilvl="6">
      <w:start w:val="1"/>
      <w:numFmt w:val="decimal"/>
      <w:pStyle w:val="Heading7"/>
      <w:isLgl/>
      <w:lvlText w:val="%6.%7"/>
      <w:lvlJc w:val="left"/>
      <w:pPr>
        <w:tabs>
          <w:tab w:val="num" w:pos="720"/>
        </w:tabs>
        <w:ind w:left="720" w:hanging="720"/>
      </w:pPr>
    </w:lvl>
    <w:lvl w:ilvl="7">
      <w:start w:val="1"/>
      <w:numFmt w:val="lowerLetter"/>
      <w:pStyle w:val="Heading8"/>
      <w:lvlText w:val="(%8)"/>
      <w:lvlJc w:val="left"/>
      <w:pPr>
        <w:tabs>
          <w:tab w:val="num" w:pos="1440"/>
        </w:tabs>
        <w:ind w:left="1440" w:hanging="720"/>
      </w:pPr>
      <w:rPr>
        <w:b w:val="0"/>
        <w:i w:val="0"/>
        <w:caps w:val="0"/>
        <w:smallCaps w:val="0"/>
        <w:color w:val="auto"/>
      </w:rPr>
    </w:lvl>
    <w:lvl w:ilvl="8">
      <w:start w:val="1"/>
      <w:numFmt w:val="lowerRoman"/>
      <w:pStyle w:val="Heading9"/>
      <w:lvlText w:val="(%9)"/>
      <w:lvlJc w:val="left"/>
      <w:pPr>
        <w:tabs>
          <w:tab w:val="num" w:pos="2160"/>
        </w:tabs>
        <w:ind w:left="2160" w:hanging="720"/>
      </w:pPr>
      <w:rPr>
        <w:b w:val="0"/>
        <w:i w:val="0"/>
        <w:caps w:val="0"/>
        <w:smallCaps w:val="0"/>
        <w:color w:val="auto"/>
        <w:u w:val="none"/>
      </w:rPr>
    </w:lvl>
  </w:abstractNum>
  <w:abstractNum w:abstractNumId="27" w15:restartNumberingAfterBreak="0">
    <w:nsid w:val="691E6B8A"/>
    <w:multiLevelType w:val="hybridMultilevel"/>
    <w:tmpl w:val="D444B08C"/>
    <w:lvl w:ilvl="0" w:tplc="C0AC22B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5E4B43"/>
    <w:multiLevelType w:val="multilevel"/>
    <w:tmpl w:val="E846436C"/>
    <w:name w:val="zzmpFWD||FW Definitions|2|3|1|0|0|32||1|0|0||1|0|0||1|0|0||1|0|0||1|0|0||1|0|0||mpNA||mpNA||"/>
    <w:lvl w:ilvl="0">
      <w:start w:val="1"/>
      <w:numFmt w:val="decimal"/>
      <w:lvlRestart w:val="0"/>
      <w:pStyle w:val="FWBL1"/>
      <w:lvlText w:val="%1."/>
      <w:lvlJc w:val="left"/>
      <w:pPr>
        <w:tabs>
          <w:tab w:val="num" w:pos="720"/>
        </w:tabs>
        <w:ind w:left="0" w:firstLine="0"/>
      </w:pPr>
      <w:rPr>
        <w:rFonts w:ascii="Times New Roman" w:hAnsi="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29" w15:restartNumberingAfterBreak="0">
    <w:nsid w:val="72C24B7B"/>
    <w:multiLevelType w:val="multilevel"/>
    <w:tmpl w:val="0409001D"/>
    <w:name w:val="(Unnamed Numbering Schem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631058E"/>
    <w:multiLevelType w:val="hybridMultilevel"/>
    <w:tmpl w:val="1C4ACC1C"/>
    <w:lvl w:ilvl="0" w:tplc="987AE7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677436"/>
    <w:multiLevelType w:val="hybridMultilevel"/>
    <w:tmpl w:val="A4524C2C"/>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25"/>
  </w:num>
  <w:num w:numId="4">
    <w:abstractNumId w:val="30"/>
  </w:num>
  <w:num w:numId="5">
    <w:abstractNumId w:val="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lowerRoman"/>
        <w:lvlText w:val="(%4)"/>
        <w:lvlJc w:val="left"/>
        <w:pPr>
          <w:tabs>
            <w:tab w:val="num" w:pos="1843"/>
          </w:tabs>
          <w:ind w:left="1843" w:hanging="567"/>
        </w:pPr>
        <w:rPr>
          <w:rFonts w:ascii="Times New Roman" w:hAnsi="Times New Roman" w:cs="Times New Roman" w:hint="default"/>
          <w:sz w:val="24"/>
          <w:szCs w:val="24"/>
        </w:rPr>
      </w:lvl>
    </w:lvlOverride>
  </w:num>
  <w:num w:numId="6">
    <w:abstractNumId w:val="6"/>
  </w:num>
  <w:num w:numId="7">
    <w:abstractNumId w:val="28"/>
  </w:num>
  <w:num w:numId="8">
    <w:abstractNumId w:val="9"/>
  </w:num>
  <w:num w:numId="9">
    <w:abstractNumId w:val="5"/>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lowerRoman"/>
        <w:lvlText w:val="(%4)"/>
        <w:lvlJc w:val="left"/>
        <w:pPr>
          <w:tabs>
            <w:tab w:val="num" w:pos="1843"/>
          </w:tabs>
          <w:ind w:left="1843" w:hanging="567"/>
        </w:pPr>
        <w:rPr>
          <w:rFonts w:ascii="Arial" w:hAnsi="Arial" w:cs="Arial"/>
          <w:sz w:val="24"/>
          <w:szCs w:val="24"/>
        </w:rPr>
      </w:lvl>
    </w:lvlOverride>
  </w:num>
  <w:num w:numId="10">
    <w:abstractNumId w:val="0"/>
  </w:num>
  <w:num w:numId="11">
    <w:abstractNumId w:val="26"/>
  </w:num>
  <w:num w:numId="12">
    <w:abstractNumId w:val="19"/>
  </w:num>
  <w:num w:numId="13">
    <w:abstractNumId w:val="8"/>
  </w:num>
  <w:num w:numId="14">
    <w:abstractNumId w:val="22"/>
  </w:num>
  <w:num w:numId="15">
    <w:abstractNumId w:val="29"/>
  </w:num>
  <w:num w:numId="16">
    <w:abstractNumId w:val="26"/>
  </w:num>
  <w:num w:numId="17">
    <w:abstractNumId w:val="7"/>
  </w:num>
  <w:num w:numId="18">
    <w:abstractNumId w:val="5"/>
  </w:num>
  <w:num w:numId="19">
    <w:abstractNumId w:val="15"/>
  </w:num>
  <w:num w:numId="20">
    <w:abstractNumId w:val="16"/>
  </w:num>
  <w:num w:numId="21">
    <w:abstractNumId w:val="1"/>
  </w:num>
  <w:num w:numId="22">
    <w:abstractNumId w:val="26"/>
  </w:num>
  <w:num w:numId="23">
    <w:abstractNumId w:val="14"/>
  </w:num>
  <w:num w:numId="24">
    <w:abstractNumId w:val="24"/>
  </w:num>
  <w:num w:numId="25">
    <w:abstractNumId w:val="10"/>
  </w:num>
  <w:num w:numId="26">
    <w:abstractNumId w:val="17"/>
  </w:num>
  <w:num w:numId="27">
    <w:abstractNumId w:val="12"/>
  </w:num>
  <w:num w:numId="28">
    <w:abstractNumId w:val="13"/>
  </w:num>
  <w:num w:numId="29">
    <w:abstractNumId w:val="27"/>
  </w:num>
  <w:num w:numId="30">
    <w:abstractNumId w:val="21"/>
  </w:num>
  <w:num w:numId="31">
    <w:abstractNumId w:val="2"/>
  </w:num>
  <w:num w:numId="32">
    <w:abstractNumId w:val="11"/>
  </w:num>
  <w:num w:numId="33">
    <w:abstractNumId w:val="18"/>
  </w:num>
  <w:num w:numId="34">
    <w:abstractNumId w:val="20"/>
  </w:num>
  <w:num w:numId="35">
    <w:abstractNumId w:val="3"/>
  </w:num>
  <w:num w:numId="36">
    <w:abstractNumId w:val="31"/>
  </w:num>
  <w:num w:numId="3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defaultTabStop w:val="720"/>
  <w:drawingGridHorizontalSpacing w:val="57"/>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Footer" w:val="Off"/>
    <w:docVar w:name="DocIDAuthor" w:val="False"/>
    <w:docVar w:name="DocIDClientMatter" w:val="False"/>
    <w:docVar w:name="DocIDDate" w:val="False"/>
    <w:docVar w:name="DocIDLibrary" w:val="True"/>
    <w:docVar w:name="DocIDType" w:val="AllPages"/>
    <w:docVar w:name="DocIDTypist" w:val="False"/>
    <w:docVar w:name="ezNumLTs" w:val="A"/>
    <w:docVar w:name="HidePageNumbersInWeb" w:val="1"/>
    <w:docVar w:name="KNumTOC_Include_A1" w:val="First Sentence"/>
    <w:docVar w:name="KNumTOC_Include_A2" w:val="Do Not Include"/>
    <w:docVar w:name="KNumTOC_Include_A3" w:val="Do Not Include"/>
    <w:docVar w:name="KNumTOC_Include_A4" w:val="Do Not Include"/>
    <w:docVar w:name="KNumTOC_Include_A5" w:val="Do Not Include"/>
    <w:docVar w:name="KNumTOC_Include_A6" w:val="Do Not Include"/>
    <w:docVar w:name="KNumTOC_Include_A7" w:val="Do Not Include"/>
    <w:docVar w:name="KNumTOC_Include_A8" w:val="Do Not Include"/>
    <w:docVar w:name="KNumTOC_Include_A9" w:val="Do Not Include"/>
    <w:docVar w:name="KNumTOC_Schemes" w:val="1"/>
    <w:docVar w:name="KNumTOC_ShiftEnter" w:val="0"/>
    <w:docVar w:name="LastListTemplate" w:val="A"/>
    <w:docVar w:name="LegacyDocIDRemoved" w:val="True"/>
    <w:docVar w:name="RemoveBold" w:val="1"/>
    <w:docVar w:name="RemoveItalics" w:val="1"/>
    <w:docVar w:name="RemoveUnderline" w:val="1"/>
    <w:docVar w:name="SentenceDelimiter" w:val="0"/>
    <w:docVar w:name="UseHyperLinks" w:val="0"/>
  </w:docVars>
  <w:rsids>
    <w:rsidRoot w:val="00BE5FD7"/>
    <w:rsid w:val="00000064"/>
    <w:rsid w:val="0000021A"/>
    <w:rsid w:val="0000299C"/>
    <w:rsid w:val="00003B5D"/>
    <w:rsid w:val="00003C4E"/>
    <w:rsid w:val="00003CC1"/>
    <w:rsid w:val="000042AF"/>
    <w:rsid w:val="000050B3"/>
    <w:rsid w:val="00005D3E"/>
    <w:rsid w:val="00005E77"/>
    <w:rsid w:val="00010AF6"/>
    <w:rsid w:val="0001589F"/>
    <w:rsid w:val="00017A13"/>
    <w:rsid w:val="000212C9"/>
    <w:rsid w:val="00021A10"/>
    <w:rsid w:val="00022156"/>
    <w:rsid w:val="00027A98"/>
    <w:rsid w:val="00031D4A"/>
    <w:rsid w:val="00033B9E"/>
    <w:rsid w:val="00034061"/>
    <w:rsid w:val="00035D07"/>
    <w:rsid w:val="00035D66"/>
    <w:rsid w:val="00036400"/>
    <w:rsid w:val="0003643C"/>
    <w:rsid w:val="00036977"/>
    <w:rsid w:val="00037504"/>
    <w:rsid w:val="0004175B"/>
    <w:rsid w:val="0004189C"/>
    <w:rsid w:val="00041CB1"/>
    <w:rsid w:val="00045519"/>
    <w:rsid w:val="0005432C"/>
    <w:rsid w:val="00055DD6"/>
    <w:rsid w:val="00057C85"/>
    <w:rsid w:val="00057EA3"/>
    <w:rsid w:val="00060E85"/>
    <w:rsid w:val="000653CE"/>
    <w:rsid w:val="00066F7F"/>
    <w:rsid w:val="0006738B"/>
    <w:rsid w:val="0007023D"/>
    <w:rsid w:val="00071C94"/>
    <w:rsid w:val="0007284E"/>
    <w:rsid w:val="00073D37"/>
    <w:rsid w:val="00074D7E"/>
    <w:rsid w:val="00075534"/>
    <w:rsid w:val="000812A2"/>
    <w:rsid w:val="00084CC3"/>
    <w:rsid w:val="0008536B"/>
    <w:rsid w:val="00086DA8"/>
    <w:rsid w:val="000872F6"/>
    <w:rsid w:val="000877F4"/>
    <w:rsid w:val="0009497C"/>
    <w:rsid w:val="00095BFD"/>
    <w:rsid w:val="00096193"/>
    <w:rsid w:val="000A2614"/>
    <w:rsid w:val="000A5EB9"/>
    <w:rsid w:val="000A65D7"/>
    <w:rsid w:val="000A681B"/>
    <w:rsid w:val="000B005C"/>
    <w:rsid w:val="000B0F6D"/>
    <w:rsid w:val="000C33B1"/>
    <w:rsid w:val="000C3A1B"/>
    <w:rsid w:val="000C3EE0"/>
    <w:rsid w:val="000C45A5"/>
    <w:rsid w:val="000C4E18"/>
    <w:rsid w:val="000C5C8A"/>
    <w:rsid w:val="000C7B68"/>
    <w:rsid w:val="000C7DA6"/>
    <w:rsid w:val="000D0EFA"/>
    <w:rsid w:val="000D6B78"/>
    <w:rsid w:val="000D7AE9"/>
    <w:rsid w:val="000E1E97"/>
    <w:rsid w:val="000E308B"/>
    <w:rsid w:val="000E3F21"/>
    <w:rsid w:val="000E4F68"/>
    <w:rsid w:val="000F20E9"/>
    <w:rsid w:val="000F2594"/>
    <w:rsid w:val="000F2928"/>
    <w:rsid w:val="000F4DEC"/>
    <w:rsid w:val="000F78DA"/>
    <w:rsid w:val="0010188A"/>
    <w:rsid w:val="00101D2E"/>
    <w:rsid w:val="00103BA6"/>
    <w:rsid w:val="00107FA4"/>
    <w:rsid w:val="00110211"/>
    <w:rsid w:val="0011693E"/>
    <w:rsid w:val="00117E3A"/>
    <w:rsid w:val="001218FE"/>
    <w:rsid w:val="0013201A"/>
    <w:rsid w:val="00135295"/>
    <w:rsid w:val="0013727E"/>
    <w:rsid w:val="001437FF"/>
    <w:rsid w:val="00143C60"/>
    <w:rsid w:val="0014673B"/>
    <w:rsid w:val="00147CF3"/>
    <w:rsid w:val="00152BF6"/>
    <w:rsid w:val="00152F8E"/>
    <w:rsid w:val="00153166"/>
    <w:rsid w:val="00153612"/>
    <w:rsid w:val="00154996"/>
    <w:rsid w:val="001607A3"/>
    <w:rsid w:val="001626B9"/>
    <w:rsid w:val="00166E0D"/>
    <w:rsid w:val="00167D75"/>
    <w:rsid w:val="00173687"/>
    <w:rsid w:val="00173A31"/>
    <w:rsid w:val="00174690"/>
    <w:rsid w:val="00174C95"/>
    <w:rsid w:val="0017547E"/>
    <w:rsid w:val="001805E5"/>
    <w:rsid w:val="001812EC"/>
    <w:rsid w:val="00182310"/>
    <w:rsid w:val="00183416"/>
    <w:rsid w:val="0018709F"/>
    <w:rsid w:val="00187970"/>
    <w:rsid w:val="001912A1"/>
    <w:rsid w:val="00192A56"/>
    <w:rsid w:val="001938B0"/>
    <w:rsid w:val="0019403A"/>
    <w:rsid w:val="00197F22"/>
    <w:rsid w:val="001A022F"/>
    <w:rsid w:val="001A1FAC"/>
    <w:rsid w:val="001A54BB"/>
    <w:rsid w:val="001A6559"/>
    <w:rsid w:val="001A675E"/>
    <w:rsid w:val="001A6BA0"/>
    <w:rsid w:val="001A6C95"/>
    <w:rsid w:val="001A7BC6"/>
    <w:rsid w:val="001B0824"/>
    <w:rsid w:val="001B3C25"/>
    <w:rsid w:val="001B4142"/>
    <w:rsid w:val="001C4F11"/>
    <w:rsid w:val="001C5B38"/>
    <w:rsid w:val="001D1476"/>
    <w:rsid w:val="001D3DFC"/>
    <w:rsid w:val="001D6238"/>
    <w:rsid w:val="001D63AD"/>
    <w:rsid w:val="001D75EC"/>
    <w:rsid w:val="001E2474"/>
    <w:rsid w:val="001F0815"/>
    <w:rsid w:val="001F1A36"/>
    <w:rsid w:val="001F486E"/>
    <w:rsid w:val="001F6F4C"/>
    <w:rsid w:val="00201C6F"/>
    <w:rsid w:val="002035CC"/>
    <w:rsid w:val="00207496"/>
    <w:rsid w:val="00213700"/>
    <w:rsid w:val="00214F2C"/>
    <w:rsid w:val="00217AC0"/>
    <w:rsid w:val="00220319"/>
    <w:rsid w:val="00221A76"/>
    <w:rsid w:val="00223782"/>
    <w:rsid w:val="0022588C"/>
    <w:rsid w:val="0022639E"/>
    <w:rsid w:val="002275BA"/>
    <w:rsid w:val="00227CC0"/>
    <w:rsid w:val="00232A42"/>
    <w:rsid w:val="00232EDD"/>
    <w:rsid w:val="00233203"/>
    <w:rsid w:val="002369DD"/>
    <w:rsid w:val="00237D7C"/>
    <w:rsid w:val="00241B7D"/>
    <w:rsid w:val="00244C7B"/>
    <w:rsid w:val="00254810"/>
    <w:rsid w:val="00256B99"/>
    <w:rsid w:val="00260FFF"/>
    <w:rsid w:val="00263ACF"/>
    <w:rsid w:val="0026422A"/>
    <w:rsid w:val="00267D59"/>
    <w:rsid w:val="002713A9"/>
    <w:rsid w:val="002724F0"/>
    <w:rsid w:val="002751D5"/>
    <w:rsid w:val="0027688A"/>
    <w:rsid w:val="0027777B"/>
    <w:rsid w:val="00280533"/>
    <w:rsid w:val="002810DF"/>
    <w:rsid w:val="00283C4B"/>
    <w:rsid w:val="0028571D"/>
    <w:rsid w:val="0029085E"/>
    <w:rsid w:val="00294F87"/>
    <w:rsid w:val="00295666"/>
    <w:rsid w:val="00296F38"/>
    <w:rsid w:val="002A0501"/>
    <w:rsid w:val="002A064B"/>
    <w:rsid w:val="002A0F73"/>
    <w:rsid w:val="002A500B"/>
    <w:rsid w:val="002A524E"/>
    <w:rsid w:val="002A69A8"/>
    <w:rsid w:val="002A6E35"/>
    <w:rsid w:val="002A7C73"/>
    <w:rsid w:val="002B217C"/>
    <w:rsid w:val="002B73C5"/>
    <w:rsid w:val="002D0799"/>
    <w:rsid w:val="002D2531"/>
    <w:rsid w:val="002E4657"/>
    <w:rsid w:val="002E4B48"/>
    <w:rsid w:val="002E72CE"/>
    <w:rsid w:val="002E740E"/>
    <w:rsid w:val="002F2254"/>
    <w:rsid w:val="002F333F"/>
    <w:rsid w:val="002F3FB8"/>
    <w:rsid w:val="002F5547"/>
    <w:rsid w:val="002F56AC"/>
    <w:rsid w:val="002F6AA9"/>
    <w:rsid w:val="0030018A"/>
    <w:rsid w:val="00301250"/>
    <w:rsid w:val="003012E0"/>
    <w:rsid w:val="0030639F"/>
    <w:rsid w:val="0030793B"/>
    <w:rsid w:val="003120C1"/>
    <w:rsid w:val="00313C18"/>
    <w:rsid w:val="0031789B"/>
    <w:rsid w:val="00323E74"/>
    <w:rsid w:val="00324043"/>
    <w:rsid w:val="0032596B"/>
    <w:rsid w:val="003262AC"/>
    <w:rsid w:val="00327477"/>
    <w:rsid w:val="00330171"/>
    <w:rsid w:val="00331FCF"/>
    <w:rsid w:val="003333F4"/>
    <w:rsid w:val="00333DA5"/>
    <w:rsid w:val="00336040"/>
    <w:rsid w:val="003362AB"/>
    <w:rsid w:val="003365F8"/>
    <w:rsid w:val="00336B91"/>
    <w:rsid w:val="00336CDA"/>
    <w:rsid w:val="00336D23"/>
    <w:rsid w:val="003379E5"/>
    <w:rsid w:val="003422EF"/>
    <w:rsid w:val="00342476"/>
    <w:rsid w:val="00345F35"/>
    <w:rsid w:val="00347BFC"/>
    <w:rsid w:val="0035033F"/>
    <w:rsid w:val="00352BB5"/>
    <w:rsid w:val="00352DBC"/>
    <w:rsid w:val="003554EE"/>
    <w:rsid w:val="00357213"/>
    <w:rsid w:val="00357BD1"/>
    <w:rsid w:val="00361A92"/>
    <w:rsid w:val="00361BD2"/>
    <w:rsid w:val="0036301F"/>
    <w:rsid w:val="003632C9"/>
    <w:rsid w:val="003647E2"/>
    <w:rsid w:val="0036633C"/>
    <w:rsid w:val="00366414"/>
    <w:rsid w:val="00366C2F"/>
    <w:rsid w:val="00367D2F"/>
    <w:rsid w:val="00371678"/>
    <w:rsid w:val="003738C8"/>
    <w:rsid w:val="00375833"/>
    <w:rsid w:val="00376A56"/>
    <w:rsid w:val="00377FA9"/>
    <w:rsid w:val="00383DAF"/>
    <w:rsid w:val="00384EDA"/>
    <w:rsid w:val="00385A9F"/>
    <w:rsid w:val="00394126"/>
    <w:rsid w:val="0039669F"/>
    <w:rsid w:val="0039730C"/>
    <w:rsid w:val="003A1107"/>
    <w:rsid w:val="003A2B16"/>
    <w:rsid w:val="003A5957"/>
    <w:rsid w:val="003A7B06"/>
    <w:rsid w:val="003B0A22"/>
    <w:rsid w:val="003B1A23"/>
    <w:rsid w:val="003B469F"/>
    <w:rsid w:val="003B4AF0"/>
    <w:rsid w:val="003B50CC"/>
    <w:rsid w:val="003B566A"/>
    <w:rsid w:val="003B6858"/>
    <w:rsid w:val="003B778A"/>
    <w:rsid w:val="003B7808"/>
    <w:rsid w:val="003C0BE2"/>
    <w:rsid w:val="003C0C4F"/>
    <w:rsid w:val="003C4077"/>
    <w:rsid w:val="003D197F"/>
    <w:rsid w:val="003D24A0"/>
    <w:rsid w:val="003D30B5"/>
    <w:rsid w:val="003D33AB"/>
    <w:rsid w:val="003D5A38"/>
    <w:rsid w:val="003D6C26"/>
    <w:rsid w:val="003E0442"/>
    <w:rsid w:val="003E06ED"/>
    <w:rsid w:val="003E0DBB"/>
    <w:rsid w:val="003E3B59"/>
    <w:rsid w:val="003E645E"/>
    <w:rsid w:val="003F04B6"/>
    <w:rsid w:val="003F068B"/>
    <w:rsid w:val="003F6325"/>
    <w:rsid w:val="003F6813"/>
    <w:rsid w:val="004058FF"/>
    <w:rsid w:val="00410127"/>
    <w:rsid w:val="004119A0"/>
    <w:rsid w:val="00412D0B"/>
    <w:rsid w:val="0041380B"/>
    <w:rsid w:val="004144A4"/>
    <w:rsid w:val="00417C2D"/>
    <w:rsid w:val="00420336"/>
    <w:rsid w:val="004208C5"/>
    <w:rsid w:val="0042187C"/>
    <w:rsid w:val="00421C1C"/>
    <w:rsid w:val="00423DFD"/>
    <w:rsid w:val="00425A0F"/>
    <w:rsid w:val="00426878"/>
    <w:rsid w:val="00427C29"/>
    <w:rsid w:val="004304AE"/>
    <w:rsid w:val="004378F9"/>
    <w:rsid w:val="00447BA6"/>
    <w:rsid w:val="00451B0D"/>
    <w:rsid w:val="0045597C"/>
    <w:rsid w:val="004618A3"/>
    <w:rsid w:val="004627CE"/>
    <w:rsid w:val="00463651"/>
    <w:rsid w:val="004659FD"/>
    <w:rsid w:val="00466C78"/>
    <w:rsid w:val="00467B24"/>
    <w:rsid w:val="004713B8"/>
    <w:rsid w:val="00471A6E"/>
    <w:rsid w:val="004730FD"/>
    <w:rsid w:val="00473E72"/>
    <w:rsid w:val="00476ACF"/>
    <w:rsid w:val="00485AB4"/>
    <w:rsid w:val="00485E04"/>
    <w:rsid w:val="00485ECD"/>
    <w:rsid w:val="00491FD8"/>
    <w:rsid w:val="0049270F"/>
    <w:rsid w:val="004937D7"/>
    <w:rsid w:val="0049716D"/>
    <w:rsid w:val="004971C1"/>
    <w:rsid w:val="004A25C8"/>
    <w:rsid w:val="004A470E"/>
    <w:rsid w:val="004A4985"/>
    <w:rsid w:val="004A4CC1"/>
    <w:rsid w:val="004A510E"/>
    <w:rsid w:val="004A665D"/>
    <w:rsid w:val="004B069B"/>
    <w:rsid w:val="004B451B"/>
    <w:rsid w:val="004B5883"/>
    <w:rsid w:val="004B60EA"/>
    <w:rsid w:val="004B6636"/>
    <w:rsid w:val="004C49F4"/>
    <w:rsid w:val="004C4E54"/>
    <w:rsid w:val="004C69EE"/>
    <w:rsid w:val="004C7609"/>
    <w:rsid w:val="004C779B"/>
    <w:rsid w:val="004D2419"/>
    <w:rsid w:val="004D335F"/>
    <w:rsid w:val="004D6C30"/>
    <w:rsid w:val="004E00FB"/>
    <w:rsid w:val="004E10DE"/>
    <w:rsid w:val="004E274D"/>
    <w:rsid w:val="004E422F"/>
    <w:rsid w:val="004E7321"/>
    <w:rsid w:val="004E76BE"/>
    <w:rsid w:val="004E7A93"/>
    <w:rsid w:val="004F1EFB"/>
    <w:rsid w:val="004F23EA"/>
    <w:rsid w:val="004F42E3"/>
    <w:rsid w:val="004F4A93"/>
    <w:rsid w:val="004F5640"/>
    <w:rsid w:val="004F5DF8"/>
    <w:rsid w:val="00500AF0"/>
    <w:rsid w:val="00501CE4"/>
    <w:rsid w:val="00502485"/>
    <w:rsid w:val="0050352E"/>
    <w:rsid w:val="00506380"/>
    <w:rsid w:val="00507CF0"/>
    <w:rsid w:val="005111EA"/>
    <w:rsid w:val="00512E5D"/>
    <w:rsid w:val="0051547A"/>
    <w:rsid w:val="005178BF"/>
    <w:rsid w:val="00525B77"/>
    <w:rsid w:val="005267DB"/>
    <w:rsid w:val="005276D0"/>
    <w:rsid w:val="005277F9"/>
    <w:rsid w:val="00531795"/>
    <w:rsid w:val="00533A06"/>
    <w:rsid w:val="00534377"/>
    <w:rsid w:val="005346C7"/>
    <w:rsid w:val="00535BD7"/>
    <w:rsid w:val="00536545"/>
    <w:rsid w:val="00537DB3"/>
    <w:rsid w:val="0054174E"/>
    <w:rsid w:val="00542DF7"/>
    <w:rsid w:val="00544015"/>
    <w:rsid w:val="00544875"/>
    <w:rsid w:val="005561A7"/>
    <w:rsid w:val="005602DD"/>
    <w:rsid w:val="00561955"/>
    <w:rsid w:val="005632BD"/>
    <w:rsid w:val="005650EC"/>
    <w:rsid w:val="00570F92"/>
    <w:rsid w:val="00571815"/>
    <w:rsid w:val="005732F3"/>
    <w:rsid w:val="005823C1"/>
    <w:rsid w:val="00583EEB"/>
    <w:rsid w:val="005858C0"/>
    <w:rsid w:val="00586BAF"/>
    <w:rsid w:val="0059501D"/>
    <w:rsid w:val="005969AD"/>
    <w:rsid w:val="005A04B8"/>
    <w:rsid w:val="005A14C7"/>
    <w:rsid w:val="005A4B02"/>
    <w:rsid w:val="005A6689"/>
    <w:rsid w:val="005A741F"/>
    <w:rsid w:val="005A7F74"/>
    <w:rsid w:val="005B2B99"/>
    <w:rsid w:val="005B5696"/>
    <w:rsid w:val="005C317E"/>
    <w:rsid w:val="005D1B44"/>
    <w:rsid w:val="005D40AD"/>
    <w:rsid w:val="005D696E"/>
    <w:rsid w:val="005D6B75"/>
    <w:rsid w:val="005D6E78"/>
    <w:rsid w:val="005D7187"/>
    <w:rsid w:val="005E0E02"/>
    <w:rsid w:val="005E0F24"/>
    <w:rsid w:val="005E1812"/>
    <w:rsid w:val="005E400A"/>
    <w:rsid w:val="005E7A51"/>
    <w:rsid w:val="005F4BC7"/>
    <w:rsid w:val="005F7392"/>
    <w:rsid w:val="005F740D"/>
    <w:rsid w:val="006003C1"/>
    <w:rsid w:val="006010C1"/>
    <w:rsid w:val="00606EE9"/>
    <w:rsid w:val="00610C5F"/>
    <w:rsid w:val="00616C25"/>
    <w:rsid w:val="00617A6D"/>
    <w:rsid w:val="0062036F"/>
    <w:rsid w:val="00621BFA"/>
    <w:rsid w:val="00622388"/>
    <w:rsid w:val="00622D47"/>
    <w:rsid w:val="006234B1"/>
    <w:rsid w:val="00624431"/>
    <w:rsid w:val="00625CFA"/>
    <w:rsid w:val="00627DDC"/>
    <w:rsid w:val="006317AF"/>
    <w:rsid w:val="00632FDB"/>
    <w:rsid w:val="00636144"/>
    <w:rsid w:val="00637EF4"/>
    <w:rsid w:val="00645D25"/>
    <w:rsid w:val="006466AB"/>
    <w:rsid w:val="00647FD0"/>
    <w:rsid w:val="0065206F"/>
    <w:rsid w:val="00652805"/>
    <w:rsid w:val="00655905"/>
    <w:rsid w:val="00663792"/>
    <w:rsid w:val="00664217"/>
    <w:rsid w:val="00664DFC"/>
    <w:rsid w:val="00667B1C"/>
    <w:rsid w:val="0067010A"/>
    <w:rsid w:val="0067052A"/>
    <w:rsid w:val="00671A8D"/>
    <w:rsid w:val="006728F0"/>
    <w:rsid w:val="00672A48"/>
    <w:rsid w:val="0067527D"/>
    <w:rsid w:val="006808DA"/>
    <w:rsid w:val="00682432"/>
    <w:rsid w:val="00687326"/>
    <w:rsid w:val="00694262"/>
    <w:rsid w:val="006950BD"/>
    <w:rsid w:val="00696ADF"/>
    <w:rsid w:val="00697418"/>
    <w:rsid w:val="006A0A4D"/>
    <w:rsid w:val="006A1964"/>
    <w:rsid w:val="006A3202"/>
    <w:rsid w:val="006A33BA"/>
    <w:rsid w:val="006A3C37"/>
    <w:rsid w:val="006A514C"/>
    <w:rsid w:val="006A63BC"/>
    <w:rsid w:val="006A6E04"/>
    <w:rsid w:val="006A70D7"/>
    <w:rsid w:val="006B1716"/>
    <w:rsid w:val="006B194A"/>
    <w:rsid w:val="006B3F7A"/>
    <w:rsid w:val="006B42C9"/>
    <w:rsid w:val="006B5E08"/>
    <w:rsid w:val="006B7347"/>
    <w:rsid w:val="006C1E2C"/>
    <w:rsid w:val="006C2616"/>
    <w:rsid w:val="006C2A4C"/>
    <w:rsid w:val="006D02C3"/>
    <w:rsid w:val="006D33E1"/>
    <w:rsid w:val="006E05AF"/>
    <w:rsid w:val="006E1362"/>
    <w:rsid w:val="006E61F5"/>
    <w:rsid w:val="006F178B"/>
    <w:rsid w:val="006F32AE"/>
    <w:rsid w:val="006F4365"/>
    <w:rsid w:val="006F5B1C"/>
    <w:rsid w:val="006F654A"/>
    <w:rsid w:val="006F6764"/>
    <w:rsid w:val="006F7E1A"/>
    <w:rsid w:val="00700D05"/>
    <w:rsid w:val="00701C81"/>
    <w:rsid w:val="00701EDD"/>
    <w:rsid w:val="00702A26"/>
    <w:rsid w:val="00702E22"/>
    <w:rsid w:val="00703705"/>
    <w:rsid w:val="00705DF9"/>
    <w:rsid w:val="00714024"/>
    <w:rsid w:val="00716184"/>
    <w:rsid w:val="0071732C"/>
    <w:rsid w:val="007215B4"/>
    <w:rsid w:val="0072172B"/>
    <w:rsid w:val="007225E3"/>
    <w:rsid w:val="007234E4"/>
    <w:rsid w:val="00726DC7"/>
    <w:rsid w:val="00731F50"/>
    <w:rsid w:val="00732816"/>
    <w:rsid w:val="007372AF"/>
    <w:rsid w:val="007379A6"/>
    <w:rsid w:val="00744331"/>
    <w:rsid w:val="00747B20"/>
    <w:rsid w:val="00750B2C"/>
    <w:rsid w:val="00751233"/>
    <w:rsid w:val="00751F0B"/>
    <w:rsid w:val="00752B3A"/>
    <w:rsid w:val="0075354D"/>
    <w:rsid w:val="00762B4F"/>
    <w:rsid w:val="0076435A"/>
    <w:rsid w:val="007700C6"/>
    <w:rsid w:val="0077067A"/>
    <w:rsid w:val="0077115A"/>
    <w:rsid w:val="00773D65"/>
    <w:rsid w:val="00775142"/>
    <w:rsid w:val="007759C2"/>
    <w:rsid w:val="007759DF"/>
    <w:rsid w:val="0077679B"/>
    <w:rsid w:val="00776FCF"/>
    <w:rsid w:val="007858D5"/>
    <w:rsid w:val="00785AAD"/>
    <w:rsid w:val="00790753"/>
    <w:rsid w:val="00792C13"/>
    <w:rsid w:val="00796BC8"/>
    <w:rsid w:val="007A18F7"/>
    <w:rsid w:val="007A29FF"/>
    <w:rsid w:val="007A4B47"/>
    <w:rsid w:val="007A4C3E"/>
    <w:rsid w:val="007A50C5"/>
    <w:rsid w:val="007A5CF0"/>
    <w:rsid w:val="007A61CB"/>
    <w:rsid w:val="007B2454"/>
    <w:rsid w:val="007B5610"/>
    <w:rsid w:val="007C2E5D"/>
    <w:rsid w:val="007C539F"/>
    <w:rsid w:val="007C74BB"/>
    <w:rsid w:val="007D1880"/>
    <w:rsid w:val="007D6473"/>
    <w:rsid w:val="007D6A57"/>
    <w:rsid w:val="007E021A"/>
    <w:rsid w:val="007E0460"/>
    <w:rsid w:val="007E0F7F"/>
    <w:rsid w:val="007E19F6"/>
    <w:rsid w:val="007F0A5E"/>
    <w:rsid w:val="007F1124"/>
    <w:rsid w:val="007F192F"/>
    <w:rsid w:val="007F1F48"/>
    <w:rsid w:val="007F545D"/>
    <w:rsid w:val="007F6C1A"/>
    <w:rsid w:val="00801C12"/>
    <w:rsid w:val="008020EE"/>
    <w:rsid w:val="00802E6A"/>
    <w:rsid w:val="00805373"/>
    <w:rsid w:val="00806F9E"/>
    <w:rsid w:val="0081035E"/>
    <w:rsid w:val="00811750"/>
    <w:rsid w:val="0081290C"/>
    <w:rsid w:val="00813A93"/>
    <w:rsid w:val="008156DB"/>
    <w:rsid w:val="00821969"/>
    <w:rsid w:val="0083021B"/>
    <w:rsid w:val="00830C79"/>
    <w:rsid w:val="008415E2"/>
    <w:rsid w:val="00843F44"/>
    <w:rsid w:val="008475C8"/>
    <w:rsid w:val="00855824"/>
    <w:rsid w:val="00855D57"/>
    <w:rsid w:val="00857314"/>
    <w:rsid w:val="0086416C"/>
    <w:rsid w:val="00865E1C"/>
    <w:rsid w:val="00872BA6"/>
    <w:rsid w:val="00873F9A"/>
    <w:rsid w:val="008743AE"/>
    <w:rsid w:val="00876568"/>
    <w:rsid w:val="00883204"/>
    <w:rsid w:val="008846CE"/>
    <w:rsid w:val="00886964"/>
    <w:rsid w:val="00890503"/>
    <w:rsid w:val="008919CA"/>
    <w:rsid w:val="00891F5F"/>
    <w:rsid w:val="00892C1C"/>
    <w:rsid w:val="008937D5"/>
    <w:rsid w:val="008947C4"/>
    <w:rsid w:val="0089491A"/>
    <w:rsid w:val="00895D39"/>
    <w:rsid w:val="008A068C"/>
    <w:rsid w:val="008A4BDB"/>
    <w:rsid w:val="008A6214"/>
    <w:rsid w:val="008A6FC7"/>
    <w:rsid w:val="008B0138"/>
    <w:rsid w:val="008B033A"/>
    <w:rsid w:val="008B16CB"/>
    <w:rsid w:val="008B183C"/>
    <w:rsid w:val="008B2784"/>
    <w:rsid w:val="008B2A1B"/>
    <w:rsid w:val="008B2EA5"/>
    <w:rsid w:val="008B3B6B"/>
    <w:rsid w:val="008B401F"/>
    <w:rsid w:val="008B4FD4"/>
    <w:rsid w:val="008B7072"/>
    <w:rsid w:val="008B7F2D"/>
    <w:rsid w:val="008C3C27"/>
    <w:rsid w:val="008D541C"/>
    <w:rsid w:val="008E3833"/>
    <w:rsid w:val="008E5169"/>
    <w:rsid w:val="008E64DC"/>
    <w:rsid w:val="008F5034"/>
    <w:rsid w:val="008F6E62"/>
    <w:rsid w:val="008F75EE"/>
    <w:rsid w:val="009019A4"/>
    <w:rsid w:val="009023C5"/>
    <w:rsid w:val="00902F32"/>
    <w:rsid w:val="00905251"/>
    <w:rsid w:val="00911F45"/>
    <w:rsid w:val="009132C8"/>
    <w:rsid w:val="00913A7B"/>
    <w:rsid w:val="00913F31"/>
    <w:rsid w:val="009149A3"/>
    <w:rsid w:val="00921ABB"/>
    <w:rsid w:val="009223DC"/>
    <w:rsid w:val="009231AC"/>
    <w:rsid w:val="00923C66"/>
    <w:rsid w:val="00924141"/>
    <w:rsid w:val="0092615F"/>
    <w:rsid w:val="00927939"/>
    <w:rsid w:val="00931592"/>
    <w:rsid w:val="00931970"/>
    <w:rsid w:val="0093514A"/>
    <w:rsid w:val="009364A6"/>
    <w:rsid w:val="00936C91"/>
    <w:rsid w:val="009405F6"/>
    <w:rsid w:val="00940A7C"/>
    <w:rsid w:val="009440DE"/>
    <w:rsid w:val="00944CF2"/>
    <w:rsid w:val="00951240"/>
    <w:rsid w:val="009514AB"/>
    <w:rsid w:val="00952B56"/>
    <w:rsid w:val="00952EB3"/>
    <w:rsid w:val="00953150"/>
    <w:rsid w:val="009535A0"/>
    <w:rsid w:val="00953D0E"/>
    <w:rsid w:val="00960762"/>
    <w:rsid w:val="00961106"/>
    <w:rsid w:val="009707D6"/>
    <w:rsid w:val="00971419"/>
    <w:rsid w:val="009721F6"/>
    <w:rsid w:val="00974106"/>
    <w:rsid w:val="00975332"/>
    <w:rsid w:val="00976FA4"/>
    <w:rsid w:val="0098049F"/>
    <w:rsid w:val="009813D5"/>
    <w:rsid w:val="009816FC"/>
    <w:rsid w:val="00981CE8"/>
    <w:rsid w:val="00990684"/>
    <w:rsid w:val="00990957"/>
    <w:rsid w:val="00990BDE"/>
    <w:rsid w:val="00991FE0"/>
    <w:rsid w:val="00992472"/>
    <w:rsid w:val="009924A7"/>
    <w:rsid w:val="0099385D"/>
    <w:rsid w:val="00993CB8"/>
    <w:rsid w:val="009942C1"/>
    <w:rsid w:val="00995B52"/>
    <w:rsid w:val="009A0B0E"/>
    <w:rsid w:val="009A3C25"/>
    <w:rsid w:val="009A4DE9"/>
    <w:rsid w:val="009A6BFF"/>
    <w:rsid w:val="009B02DF"/>
    <w:rsid w:val="009B10CD"/>
    <w:rsid w:val="009B3C89"/>
    <w:rsid w:val="009B5B22"/>
    <w:rsid w:val="009B6DC6"/>
    <w:rsid w:val="009B6F86"/>
    <w:rsid w:val="009B73C3"/>
    <w:rsid w:val="009C1402"/>
    <w:rsid w:val="009C18D7"/>
    <w:rsid w:val="009C32BC"/>
    <w:rsid w:val="009C632C"/>
    <w:rsid w:val="009C7AE8"/>
    <w:rsid w:val="009D340F"/>
    <w:rsid w:val="009D4ED1"/>
    <w:rsid w:val="009D6CB3"/>
    <w:rsid w:val="009D7D2B"/>
    <w:rsid w:val="009E0136"/>
    <w:rsid w:val="009E2AE0"/>
    <w:rsid w:val="009E3D0F"/>
    <w:rsid w:val="009E6DFA"/>
    <w:rsid w:val="009F2A3B"/>
    <w:rsid w:val="009F5A18"/>
    <w:rsid w:val="009F5D52"/>
    <w:rsid w:val="009F5E5F"/>
    <w:rsid w:val="00A03900"/>
    <w:rsid w:val="00A12F67"/>
    <w:rsid w:val="00A13412"/>
    <w:rsid w:val="00A13906"/>
    <w:rsid w:val="00A17BF2"/>
    <w:rsid w:val="00A2029B"/>
    <w:rsid w:val="00A20E98"/>
    <w:rsid w:val="00A2152B"/>
    <w:rsid w:val="00A21BF0"/>
    <w:rsid w:val="00A27568"/>
    <w:rsid w:val="00A3008A"/>
    <w:rsid w:val="00A303DB"/>
    <w:rsid w:val="00A31C9F"/>
    <w:rsid w:val="00A31DB9"/>
    <w:rsid w:val="00A3291A"/>
    <w:rsid w:val="00A357F7"/>
    <w:rsid w:val="00A378B3"/>
    <w:rsid w:val="00A42F3F"/>
    <w:rsid w:val="00A43C92"/>
    <w:rsid w:val="00A44188"/>
    <w:rsid w:val="00A44C47"/>
    <w:rsid w:val="00A4569A"/>
    <w:rsid w:val="00A45C5F"/>
    <w:rsid w:val="00A53D6D"/>
    <w:rsid w:val="00A55F9F"/>
    <w:rsid w:val="00A56D8F"/>
    <w:rsid w:val="00A61A9E"/>
    <w:rsid w:val="00A61DD3"/>
    <w:rsid w:val="00A652CE"/>
    <w:rsid w:val="00A6672A"/>
    <w:rsid w:val="00A705F7"/>
    <w:rsid w:val="00A70CB4"/>
    <w:rsid w:val="00A7710C"/>
    <w:rsid w:val="00A7768C"/>
    <w:rsid w:val="00A776DA"/>
    <w:rsid w:val="00A77E09"/>
    <w:rsid w:val="00A80521"/>
    <w:rsid w:val="00A810C1"/>
    <w:rsid w:val="00A83F3F"/>
    <w:rsid w:val="00A8714C"/>
    <w:rsid w:val="00A90939"/>
    <w:rsid w:val="00A914EE"/>
    <w:rsid w:val="00A931C9"/>
    <w:rsid w:val="00A9375D"/>
    <w:rsid w:val="00A951BE"/>
    <w:rsid w:val="00A96641"/>
    <w:rsid w:val="00A97677"/>
    <w:rsid w:val="00AA0AA6"/>
    <w:rsid w:val="00AA3C34"/>
    <w:rsid w:val="00AA59B4"/>
    <w:rsid w:val="00AA5A05"/>
    <w:rsid w:val="00AA6338"/>
    <w:rsid w:val="00AA72FF"/>
    <w:rsid w:val="00AB1835"/>
    <w:rsid w:val="00AB1AC0"/>
    <w:rsid w:val="00AB1C19"/>
    <w:rsid w:val="00AB1C3C"/>
    <w:rsid w:val="00AB43E6"/>
    <w:rsid w:val="00AB6A6B"/>
    <w:rsid w:val="00AB7A6C"/>
    <w:rsid w:val="00AC0775"/>
    <w:rsid w:val="00AC2922"/>
    <w:rsid w:val="00AC5B13"/>
    <w:rsid w:val="00AC64B3"/>
    <w:rsid w:val="00AC7729"/>
    <w:rsid w:val="00AD1B9D"/>
    <w:rsid w:val="00AD4C69"/>
    <w:rsid w:val="00AD71D9"/>
    <w:rsid w:val="00AD76F6"/>
    <w:rsid w:val="00AD7DAE"/>
    <w:rsid w:val="00AD7F80"/>
    <w:rsid w:val="00AE0D6E"/>
    <w:rsid w:val="00AE3CDB"/>
    <w:rsid w:val="00AE41EB"/>
    <w:rsid w:val="00AE4812"/>
    <w:rsid w:val="00AE5C87"/>
    <w:rsid w:val="00AE6F87"/>
    <w:rsid w:val="00AE73DA"/>
    <w:rsid w:val="00AF2213"/>
    <w:rsid w:val="00AF27F3"/>
    <w:rsid w:val="00AF2AB2"/>
    <w:rsid w:val="00AF3A17"/>
    <w:rsid w:val="00AF3CC8"/>
    <w:rsid w:val="00AF4203"/>
    <w:rsid w:val="00AF43DA"/>
    <w:rsid w:val="00AF4EBA"/>
    <w:rsid w:val="00B00FBD"/>
    <w:rsid w:val="00B019D9"/>
    <w:rsid w:val="00B050D6"/>
    <w:rsid w:val="00B071A1"/>
    <w:rsid w:val="00B07FA1"/>
    <w:rsid w:val="00B146AC"/>
    <w:rsid w:val="00B1702B"/>
    <w:rsid w:val="00B20F25"/>
    <w:rsid w:val="00B21927"/>
    <w:rsid w:val="00B24082"/>
    <w:rsid w:val="00B31393"/>
    <w:rsid w:val="00B32975"/>
    <w:rsid w:val="00B34BDC"/>
    <w:rsid w:val="00B36391"/>
    <w:rsid w:val="00B37E09"/>
    <w:rsid w:val="00B401B5"/>
    <w:rsid w:val="00B42BC3"/>
    <w:rsid w:val="00B436EE"/>
    <w:rsid w:val="00B5484C"/>
    <w:rsid w:val="00B56687"/>
    <w:rsid w:val="00B60B27"/>
    <w:rsid w:val="00B62575"/>
    <w:rsid w:val="00B64DAD"/>
    <w:rsid w:val="00B64F30"/>
    <w:rsid w:val="00B67235"/>
    <w:rsid w:val="00B70ACB"/>
    <w:rsid w:val="00B74A59"/>
    <w:rsid w:val="00B759A9"/>
    <w:rsid w:val="00B76ABA"/>
    <w:rsid w:val="00B8273A"/>
    <w:rsid w:val="00B83C9A"/>
    <w:rsid w:val="00B8620C"/>
    <w:rsid w:val="00B87FD4"/>
    <w:rsid w:val="00B90550"/>
    <w:rsid w:val="00B931AC"/>
    <w:rsid w:val="00B9753E"/>
    <w:rsid w:val="00BA118D"/>
    <w:rsid w:val="00BA2825"/>
    <w:rsid w:val="00BA5620"/>
    <w:rsid w:val="00BA6439"/>
    <w:rsid w:val="00BB300B"/>
    <w:rsid w:val="00BB3D82"/>
    <w:rsid w:val="00BB441A"/>
    <w:rsid w:val="00BB4C05"/>
    <w:rsid w:val="00BC275C"/>
    <w:rsid w:val="00BC335B"/>
    <w:rsid w:val="00BC55F1"/>
    <w:rsid w:val="00BC6B41"/>
    <w:rsid w:val="00BD0DBE"/>
    <w:rsid w:val="00BD1723"/>
    <w:rsid w:val="00BD2B79"/>
    <w:rsid w:val="00BD2DB6"/>
    <w:rsid w:val="00BD309B"/>
    <w:rsid w:val="00BD355F"/>
    <w:rsid w:val="00BD3B90"/>
    <w:rsid w:val="00BD5DD8"/>
    <w:rsid w:val="00BD715B"/>
    <w:rsid w:val="00BD7DD0"/>
    <w:rsid w:val="00BE087E"/>
    <w:rsid w:val="00BE12C3"/>
    <w:rsid w:val="00BE18AF"/>
    <w:rsid w:val="00BE1B0D"/>
    <w:rsid w:val="00BE2DB3"/>
    <w:rsid w:val="00BE5FD7"/>
    <w:rsid w:val="00BE687E"/>
    <w:rsid w:val="00BE77CD"/>
    <w:rsid w:val="00BF0AEC"/>
    <w:rsid w:val="00BF31C0"/>
    <w:rsid w:val="00BF3F7C"/>
    <w:rsid w:val="00BF5588"/>
    <w:rsid w:val="00BF5B1F"/>
    <w:rsid w:val="00BF60FB"/>
    <w:rsid w:val="00BF7692"/>
    <w:rsid w:val="00BF7D87"/>
    <w:rsid w:val="00C02EA8"/>
    <w:rsid w:val="00C03AF6"/>
    <w:rsid w:val="00C04582"/>
    <w:rsid w:val="00C05257"/>
    <w:rsid w:val="00C059E7"/>
    <w:rsid w:val="00C06E24"/>
    <w:rsid w:val="00C07A49"/>
    <w:rsid w:val="00C11527"/>
    <w:rsid w:val="00C12A73"/>
    <w:rsid w:val="00C12B9D"/>
    <w:rsid w:val="00C13151"/>
    <w:rsid w:val="00C15767"/>
    <w:rsid w:val="00C17468"/>
    <w:rsid w:val="00C178EE"/>
    <w:rsid w:val="00C25E92"/>
    <w:rsid w:val="00C272E3"/>
    <w:rsid w:val="00C27B67"/>
    <w:rsid w:val="00C30436"/>
    <w:rsid w:val="00C30F72"/>
    <w:rsid w:val="00C32959"/>
    <w:rsid w:val="00C34B4E"/>
    <w:rsid w:val="00C34D7C"/>
    <w:rsid w:val="00C428CE"/>
    <w:rsid w:val="00C44CEC"/>
    <w:rsid w:val="00C45A7A"/>
    <w:rsid w:val="00C5212D"/>
    <w:rsid w:val="00C54430"/>
    <w:rsid w:val="00C545A6"/>
    <w:rsid w:val="00C57C32"/>
    <w:rsid w:val="00C60E8C"/>
    <w:rsid w:val="00C63891"/>
    <w:rsid w:val="00C67D99"/>
    <w:rsid w:val="00C72023"/>
    <w:rsid w:val="00C7665C"/>
    <w:rsid w:val="00C81801"/>
    <w:rsid w:val="00C86B44"/>
    <w:rsid w:val="00C87B33"/>
    <w:rsid w:val="00C912D1"/>
    <w:rsid w:val="00C914CD"/>
    <w:rsid w:val="00C92786"/>
    <w:rsid w:val="00C9396E"/>
    <w:rsid w:val="00C94CF6"/>
    <w:rsid w:val="00CA05F7"/>
    <w:rsid w:val="00CA1476"/>
    <w:rsid w:val="00CA1624"/>
    <w:rsid w:val="00CA2DE9"/>
    <w:rsid w:val="00CA43B8"/>
    <w:rsid w:val="00CB0E25"/>
    <w:rsid w:val="00CB5843"/>
    <w:rsid w:val="00CB5912"/>
    <w:rsid w:val="00CB6D4F"/>
    <w:rsid w:val="00CB74E6"/>
    <w:rsid w:val="00CC3A22"/>
    <w:rsid w:val="00CC3C14"/>
    <w:rsid w:val="00CC664C"/>
    <w:rsid w:val="00CD40E7"/>
    <w:rsid w:val="00CD4F2C"/>
    <w:rsid w:val="00CD6255"/>
    <w:rsid w:val="00CD671E"/>
    <w:rsid w:val="00CE24CD"/>
    <w:rsid w:val="00CE55B7"/>
    <w:rsid w:val="00CE5F9C"/>
    <w:rsid w:val="00CF36BE"/>
    <w:rsid w:val="00CF43AA"/>
    <w:rsid w:val="00CF5C60"/>
    <w:rsid w:val="00CF648E"/>
    <w:rsid w:val="00D00F22"/>
    <w:rsid w:val="00D01775"/>
    <w:rsid w:val="00D025CB"/>
    <w:rsid w:val="00D04CA3"/>
    <w:rsid w:val="00D053B9"/>
    <w:rsid w:val="00D12BC7"/>
    <w:rsid w:val="00D16511"/>
    <w:rsid w:val="00D23397"/>
    <w:rsid w:val="00D23912"/>
    <w:rsid w:val="00D248E1"/>
    <w:rsid w:val="00D24E18"/>
    <w:rsid w:val="00D25E9A"/>
    <w:rsid w:val="00D30338"/>
    <w:rsid w:val="00D32C22"/>
    <w:rsid w:val="00D37CA5"/>
    <w:rsid w:val="00D401C4"/>
    <w:rsid w:val="00D43F8E"/>
    <w:rsid w:val="00D44481"/>
    <w:rsid w:val="00D4471E"/>
    <w:rsid w:val="00D52567"/>
    <w:rsid w:val="00D52FCC"/>
    <w:rsid w:val="00D6022D"/>
    <w:rsid w:val="00D61143"/>
    <w:rsid w:val="00D63DE8"/>
    <w:rsid w:val="00D6415C"/>
    <w:rsid w:val="00D646A6"/>
    <w:rsid w:val="00D64E04"/>
    <w:rsid w:val="00D72393"/>
    <w:rsid w:val="00D76D48"/>
    <w:rsid w:val="00D808C6"/>
    <w:rsid w:val="00D81218"/>
    <w:rsid w:val="00D819AF"/>
    <w:rsid w:val="00D823C6"/>
    <w:rsid w:val="00D83609"/>
    <w:rsid w:val="00D84B36"/>
    <w:rsid w:val="00D87C09"/>
    <w:rsid w:val="00D90CBF"/>
    <w:rsid w:val="00D91C07"/>
    <w:rsid w:val="00D92096"/>
    <w:rsid w:val="00D936EA"/>
    <w:rsid w:val="00D978D9"/>
    <w:rsid w:val="00DA0B70"/>
    <w:rsid w:val="00DA4585"/>
    <w:rsid w:val="00DA675F"/>
    <w:rsid w:val="00DA7144"/>
    <w:rsid w:val="00DA7AD9"/>
    <w:rsid w:val="00DA7B9B"/>
    <w:rsid w:val="00DB4710"/>
    <w:rsid w:val="00DB51F4"/>
    <w:rsid w:val="00DB76A2"/>
    <w:rsid w:val="00DB7A07"/>
    <w:rsid w:val="00DC0830"/>
    <w:rsid w:val="00DC2164"/>
    <w:rsid w:val="00DC2ABF"/>
    <w:rsid w:val="00DC3753"/>
    <w:rsid w:val="00DC6582"/>
    <w:rsid w:val="00DC776D"/>
    <w:rsid w:val="00DD0579"/>
    <w:rsid w:val="00DE3609"/>
    <w:rsid w:val="00DE41D9"/>
    <w:rsid w:val="00DE68E7"/>
    <w:rsid w:val="00DF25EA"/>
    <w:rsid w:val="00DF57D2"/>
    <w:rsid w:val="00DF7E68"/>
    <w:rsid w:val="00E025D4"/>
    <w:rsid w:val="00E06405"/>
    <w:rsid w:val="00E06E09"/>
    <w:rsid w:val="00E10B9E"/>
    <w:rsid w:val="00E12FC9"/>
    <w:rsid w:val="00E130BD"/>
    <w:rsid w:val="00E1408B"/>
    <w:rsid w:val="00E25F0C"/>
    <w:rsid w:val="00E31B2D"/>
    <w:rsid w:val="00E33E70"/>
    <w:rsid w:val="00E4029D"/>
    <w:rsid w:val="00E44E95"/>
    <w:rsid w:val="00E45A60"/>
    <w:rsid w:val="00E474B3"/>
    <w:rsid w:val="00E52F42"/>
    <w:rsid w:val="00E56D54"/>
    <w:rsid w:val="00E575BC"/>
    <w:rsid w:val="00E64447"/>
    <w:rsid w:val="00E6519A"/>
    <w:rsid w:val="00E65AE2"/>
    <w:rsid w:val="00E66299"/>
    <w:rsid w:val="00E674AC"/>
    <w:rsid w:val="00E700D1"/>
    <w:rsid w:val="00E72BDB"/>
    <w:rsid w:val="00E73299"/>
    <w:rsid w:val="00E73A92"/>
    <w:rsid w:val="00E758C1"/>
    <w:rsid w:val="00E76422"/>
    <w:rsid w:val="00E83104"/>
    <w:rsid w:val="00E8549D"/>
    <w:rsid w:val="00E86376"/>
    <w:rsid w:val="00E86BFB"/>
    <w:rsid w:val="00E91B1F"/>
    <w:rsid w:val="00E93E08"/>
    <w:rsid w:val="00E9472D"/>
    <w:rsid w:val="00E957B5"/>
    <w:rsid w:val="00E96895"/>
    <w:rsid w:val="00EA0F0F"/>
    <w:rsid w:val="00EA13E8"/>
    <w:rsid w:val="00EA17A9"/>
    <w:rsid w:val="00EA217E"/>
    <w:rsid w:val="00EA2C52"/>
    <w:rsid w:val="00EA694F"/>
    <w:rsid w:val="00EA70D3"/>
    <w:rsid w:val="00EB010A"/>
    <w:rsid w:val="00EB1319"/>
    <w:rsid w:val="00EB585C"/>
    <w:rsid w:val="00EB5894"/>
    <w:rsid w:val="00EB727F"/>
    <w:rsid w:val="00EC066C"/>
    <w:rsid w:val="00EC10B2"/>
    <w:rsid w:val="00EC2F60"/>
    <w:rsid w:val="00EC663F"/>
    <w:rsid w:val="00ED180F"/>
    <w:rsid w:val="00ED1956"/>
    <w:rsid w:val="00ED3332"/>
    <w:rsid w:val="00ED37AF"/>
    <w:rsid w:val="00ED7A12"/>
    <w:rsid w:val="00EE5602"/>
    <w:rsid w:val="00EF03CE"/>
    <w:rsid w:val="00EF1970"/>
    <w:rsid w:val="00EF538D"/>
    <w:rsid w:val="00EF559E"/>
    <w:rsid w:val="00F01011"/>
    <w:rsid w:val="00F05162"/>
    <w:rsid w:val="00F07126"/>
    <w:rsid w:val="00F15016"/>
    <w:rsid w:val="00F20224"/>
    <w:rsid w:val="00F20FF3"/>
    <w:rsid w:val="00F222CF"/>
    <w:rsid w:val="00F23632"/>
    <w:rsid w:val="00F3272D"/>
    <w:rsid w:val="00F32D50"/>
    <w:rsid w:val="00F361EA"/>
    <w:rsid w:val="00F3794E"/>
    <w:rsid w:val="00F4028D"/>
    <w:rsid w:val="00F45A7E"/>
    <w:rsid w:val="00F46632"/>
    <w:rsid w:val="00F477BA"/>
    <w:rsid w:val="00F47932"/>
    <w:rsid w:val="00F47BED"/>
    <w:rsid w:val="00F47E96"/>
    <w:rsid w:val="00F503A1"/>
    <w:rsid w:val="00F50426"/>
    <w:rsid w:val="00F509AE"/>
    <w:rsid w:val="00F5198F"/>
    <w:rsid w:val="00F602E5"/>
    <w:rsid w:val="00F64506"/>
    <w:rsid w:val="00F73D18"/>
    <w:rsid w:val="00F74FF8"/>
    <w:rsid w:val="00F77C4E"/>
    <w:rsid w:val="00F8101A"/>
    <w:rsid w:val="00F82CBE"/>
    <w:rsid w:val="00F83E72"/>
    <w:rsid w:val="00F878F9"/>
    <w:rsid w:val="00F91F86"/>
    <w:rsid w:val="00F93E51"/>
    <w:rsid w:val="00F94A32"/>
    <w:rsid w:val="00F9539F"/>
    <w:rsid w:val="00F95454"/>
    <w:rsid w:val="00F9606F"/>
    <w:rsid w:val="00F9760F"/>
    <w:rsid w:val="00FA011F"/>
    <w:rsid w:val="00FA3007"/>
    <w:rsid w:val="00FB1516"/>
    <w:rsid w:val="00FC026A"/>
    <w:rsid w:val="00FC3F5D"/>
    <w:rsid w:val="00FC6439"/>
    <w:rsid w:val="00FD1137"/>
    <w:rsid w:val="00FD12B3"/>
    <w:rsid w:val="00FD5485"/>
    <w:rsid w:val="00FD6D34"/>
    <w:rsid w:val="00FD75AE"/>
    <w:rsid w:val="00FE04A7"/>
    <w:rsid w:val="00FE354E"/>
    <w:rsid w:val="00FE4327"/>
    <w:rsid w:val="00FE5F04"/>
    <w:rsid w:val="00FF0310"/>
    <w:rsid w:val="00FF19C9"/>
    <w:rsid w:val="00FF209B"/>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4870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A06"/>
    <w:rPr>
      <w:sz w:val="24"/>
      <w:szCs w:val="24"/>
      <w:lang w:val="en-US" w:eastAsia="en-US"/>
    </w:rPr>
  </w:style>
  <w:style w:type="paragraph" w:styleId="Heading1">
    <w:name w:val="heading 1"/>
    <w:aliases w:val="Lev 1,Section Heading,H1,Hoofdstukkop,SECTION,Niveau 1,Heading.CAPS,level 1,Heading X,report,h1,Article Heading,Framew.1,Heading 1 deutsch,level1,Heading,FIAS,1 ghost,g"/>
    <w:basedOn w:val="Normal"/>
    <w:qFormat/>
    <w:rsid w:val="009813D5"/>
    <w:pPr>
      <w:keepNext/>
      <w:spacing w:before="120" w:after="120"/>
      <w:jc w:val="both"/>
      <w:outlineLvl w:val="0"/>
    </w:pPr>
    <w:rPr>
      <w:b/>
      <w:bCs/>
      <w:caps/>
      <w:sz w:val="22"/>
    </w:rPr>
  </w:style>
  <w:style w:type="paragraph" w:styleId="Heading2">
    <w:name w:val="heading 2"/>
    <w:aliases w:val="Lev 2,Reset numbering,Major,H2,Clause,Niveau 1 1,Paragraafkop,Jhed2,2,sub-sect,h2,section header,no section,21,sub-sect1,22,sub-sect2,23,sub-sect3,24,sub-sect4,25,sub-sect5,(1.1,1.2,1.3 etc),PARA2,level 2,Subsection,Sub-clause,level2,h,Insid"/>
    <w:basedOn w:val="Normal"/>
    <w:link w:val="Heading2Char"/>
    <w:qFormat/>
    <w:rsid w:val="009813D5"/>
    <w:pPr>
      <w:numPr>
        <w:ilvl w:val="1"/>
        <w:numId w:val="2"/>
      </w:numPr>
      <w:spacing w:after="240"/>
      <w:jc w:val="both"/>
      <w:outlineLvl w:val="1"/>
    </w:pPr>
    <w:rPr>
      <w:bCs/>
      <w:iCs/>
      <w:sz w:val="22"/>
    </w:rPr>
  </w:style>
  <w:style w:type="paragraph" w:styleId="Heading3">
    <w:name w:val="heading 3"/>
    <w:aliases w:val="Lev 3,Level 1 - 1,Minor,H3,(a),Niveau 1 1 1,Subparagraafkop,Heading 3(left),h3,3,h31,31,h32,32,h33,33,h34,34,h35,35,sub-sub,sub-sub1,sub-sub2,sub-sub3,sub-sub4,sub section header,level 3,title,.,level3,3 bullet,Numbered - 3,MI,Heading 3 Char"/>
    <w:basedOn w:val="Normal"/>
    <w:qFormat/>
    <w:rsid w:val="009813D5"/>
    <w:pPr>
      <w:numPr>
        <w:ilvl w:val="2"/>
        <w:numId w:val="2"/>
      </w:numPr>
      <w:spacing w:after="240"/>
      <w:jc w:val="both"/>
      <w:outlineLvl w:val="2"/>
    </w:pPr>
    <w:rPr>
      <w:bCs/>
      <w:sz w:val="22"/>
      <w:szCs w:val="26"/>
    </w:rPr>
  </w:style>
  <w:style w:type="paragraph" w:styleId="Heading4">
    <w:name w:val="heading 4"/>
    <w:aliases w:val="Lev 4,Level 2 - a,Sub-Minor,H,H4,(i),level 4,h4,Sub-paragraph,level4,4 dash,d,Heading 4 Char1,Heading 4 Char Char,Heading 4 Char1 Char Char,Heading 4 Char Char Char Char,Heading 4 Char1 Char1,Heading 4 Char Char Char1"/>
    <w:basedOn w:val="Normal"/>
    <w:qFormat/>
    <w:rsid w:val="009813D5"/>
    <w:pPr>
      <w:numPr>
        <w:ilvl w:val="3"/>
        <w:numId w:val="2"/>
      </w:numPr>
      <w:spacing w:after="240"/>
      <w:jc w:val="both"/>
      <w:outlineLvl w:val="3"/>
    </w:pPr>
    <w:rPr>
      <w:bCs/>
      <w:sz w:val="22"/>
      <w:szCs w:val="28"/>
    </w:rPr>
  </w:style>
  <w:style w:type="paragraph" w:styleId="Heading5">
    <w:name w:val="heading 5"/>
    <w:aliases w:val="Lev 5,Level 3 - i,H5,(1),level 5,h5,level5"/>
    <w:basedOn w:val="Normal"/>
    <w:qFormat/>
    <w:rsid w:val="009813D5"/>
    <w:pPr>
      <w:numPr>
        <w:ilvl w:val="4"/>
        <w:numId w:val="2"/>
      </w:numPr>
      <w:spacing w:after="240"/>
      <w:jc w:val="both"/>
      <w:outlineLvl w:val="4"/>
    </w:pPr>
    <w:rPr>
      <w:bCs/>
      <w:iCs/>
      <w:sz w:val="22"/>
      <w:szCs w:val="26"/>
    </w:rPr>
  </w:style>
  <w:style w:type="paragraph" w:styleId="Heading6">
    <w:name w:val="heading 6"/>
    <w:aliases w:val="Lev 6,Legal Level 1.,H6,(A),Marginal,level 6,h6,level6"/>
    <w:basedOn w:val="Normal"/>
    <w:qFormat/>
    <w:rsid w:val="00533A06"/>
    <w:pPr>
      <w:numPr>
        <w:ilvl w:val="5"/>
        <w:numId w:val="2"/>
      </w:numPr>
      <w:spacing w:after="240"/>
      <w:jc w:val="both"/>
      <w:outlineLvl w:val="5"/>
    </w:pPr>
    <w:rPr>
      <w:b/>
      <w:bCs/>
      <w:szCs w:val="22"/>
    </w:rPr>
  </w:style>
  <w:style w:type="paragraph" w:styleId="Heading7">
    <w:name w:val="heading 7"/>
    <w:basedOn w:val="Normal"/>
    <w:qFormat/>
    <w:rsid w:val="00533A06"/>
    <w:pPr>
      <w:numPr>
        <w:ilvl w:val="6"/>
        <w:numId w:val="2"/>
      </w:numPr>
      <w:spacing w:after="240"/>
      <w:jc w:val="both"/>
      <w:outlineLvl w:val="6"/>
    </w:pPr>
  </w:style>
  <w:style w:type="paragraph" w:styleId="Heading8">
    <w:name w:val="heading 8"/>
    <w:basedOn w:val="Normal"/>
    <w:qFormat/>
    <w:rsid w:val="00533A06"/>
    <w:pPr>
      <w:numPr>
        <w:ilvl w:val="7"/>
        <w:numId w:val="2"/>
      </w:numPr>
      <w:spacing w:after="240"/>
      <w:jc w:val="both"/>
      <w:outlineLvl w:val="7"/>
    </w:pPr>
    <w:rPr>
      <w:iCs/>
    </w:rPr>
  </w:style>
  <w:style w:type="paragraph" w:styleId="Heading9">
    <w:name w:val="heading 9"/>
    <w:aliases w:val="Lev 9,Legal Level 1.1.1.1.,H9,E3 Marginal,h9,AppendixBodyHead,level3(i)"/>
    <w:basedOn w:val="Normal"/>
    <w:next w:val="BodyText"/>
    <w:qFormat/>
    <w:rsid w:val="00533A06"/>
    <w:pPr>
      <w:numPr>
        <w:ilvl w:val="8"/>
        <w:numId w:val="2"/>
      </w:numPr>
      <w:spacing w:after="240"/>
      <w:jc w:val="both"/>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A1"/>
    <w:basedOn w:val="Normal"/>
    <w:link w:val="BodyTextChar1"/>
    <w:rsid w:val="00533A06"/>
    <w:pPr>
      <w:spacing w:after="240"/>
      <w:jc w:val="both"/>
    </w:pPr>
  </w:style>
  <w:style w:type="character" w:customStyle="1" w:styleId="BodyTextChar1">
    <w:name w:val="Body Text Char1"/>
    <w:aliases w:val="A1 Char2"/>
    <w:link w:val="BodyText"/>
    <w:rsid w:val="00533A06"/>
    <w:rPr>
      <w:sz w:val="24"/>
      <w:szCs w:val="24"/>
      <w:lang w:val="en-US" w:eastAsia="en-US" w:bidi="ar-SA"/>
    </w:rPr>
  </w:style>
  <w:style w:type="paragraph" w:customStyle="1" w:styleId="CharChar2">
    <w:name w:val="Char Char2"/>
    <w:basedOn w:val="Normal"/>
    <w:rsid w:val="00533A06"/>
    <w:pPr>
      <w:spacing w:after="160" w:line="240" w:lineRule="exact"/>
    </w:pPr>
    <w:rPr>
      <w:rFonts w:ascii="Verdana" w:hAnsi="Verdana"/>
      <w:sz w:val="20"/>
      <w:szCs w:val="20"/>
      <w:lang w:val="en-GB"/>
    </w:rPr>
  </w:style>
  <w:style w:type="paragraph" w:styleId="BodyText3">
    <w:name w:val="Body Text 3"/>
    <w:basedOn w:val="Normal"/>
    <w:rsid w:val="00533A06"/>
    <w:pPr>
      <w:spacing w:after="240"/>
    </w:pPr>
  </w:style>
  <w:style w:type="paragraph" w:styleId="BodyTextFirstIndent">
    <w:name w:val="Body Text First Indent"/>
    <w:basedOn w:val="BodyText"/>
    <w:rsid w:val="00533A06"/>
    <w:pPr>
      <w:ind w:firstLine="1440"/>
    </w:pPr>
  </w:style>
  <w:style w:type="paragraph" w:styleId="BodyTextIndent">
    <w:name w:val="Body Text Indent"/>
    <w:basedOn w:val="Normal"/>
    <w:rsid w:val="00533A06"/>
    <w:pPr>
      <w:spacing w:after="240"/>
      <w:ind w:left="720"/>
    </w:pPr>
  </w:style>
  <w:style w:type="paragraph" w:styleId="BodyTextFirstIndent2">
    <w:name w:val="Body Text First Indent 2"/>
    <w:basedOn w:val="BodyTextIndent"/>
    <w:rsid w:val="00533A06"/>
    <w:pPr>
      <w:ind w:firstLine="1440"/>
    </w:pPr>
  </w:style>
  <w:style w:type="paragraph" w:styleId="BodyTextIndent2">
    <w:name w:val="Body Text Indent 2"/>
    <w:basedOn w:val="Normal"/>
    <w:rsid w:val="00533A06"/>
    <w:pPr>
      <w:spacing w:after="120" w:line="480" w:lineRule="auto"/>
      <w:ind w:left="720"/>
    </w:pPr>
  </w:style>
  <w:style w:type="paragraph" w:styleId="BodyTextIndent3">
    <w:name w:val="Body Text Indent 3"/>
    <w:basedOn w:val="Normal"/>
    <w:rsid w:val="00533A06"/>
    <w:pPr>
      <w:spacing w:after="240"/>
      <w:ind w:left="720"/>
    </w:pPr>
  </w:style>
  <w:style w:type="paragraph" w:styleId="Footer">
    <w:name w:val="footer"/>
    <w:basedOn w:val="Normal"/>
    <w:link w:val="FooterChar"/>
    <w:uiPriority w:val="99"/>
    <w:rsid w:val="00533A06"/>
    <w:pPr>
      <w:tabs>
        <w:tab w:val="center" w:pos="4680"/>
        <w:tab w:val="right" w:pos="9360"/>
      </w:tabs>
    </w:pPr>
    <w:rPr>
      <w:sz w:val="16"/>
      <w:szCs w:val="16"/>
    </w:rPr>
  </w:style>
  <w:style w:type="paragraph" w:styleId="Header">
    <w:name w:val="header"/>
    <w:basedOn w:val="Normal"/>
    <w:link w:val="HeaderChar"/>
    <w:uiPriority w:val="99"/>
    <w:rsid w:val="00533A06"/>
    <w:pPr>
      <w:tabs>
        <w:tab w:val="center" w:pos="4680"/>
        <w:tab w:val="right" w:pos="9360"/>
      </w:tabs>
    </w:pPr>
  </w:style>
  <w:style w:type="character" w:styleId="PageNumber">
    <w:name w:val="page number"/>
    <w:rsid w:val="00533A06"/>
    <w:rPr>
      <w:rFonts w:ascii="Times New Roman" w:hAnsi="Times New Roman"/>
      <w:sz w:val="24"/>
      <w:szCs w:val="24"/>
    </w:rPr>
  </w:style>
  <w:style w:type="paragraph" w:customStyle="1" w:styleId="Text">
    <w:name w:val="Text"/>
    <w:aliases w:val="1,Body"/>
    <w:basedOn w:val="Normal"/>
    <w:link w:val="TextChar"/>
    <w:rsid w:val="00533A06"/>
    <w:pPr>
      <w:spacing w:after="240"/>
      <w:jc w:val="both"/>
    </w:pPr>
    <w:rPr>
      <w:szCs w:val="20"/>
      <w:lang w:val="en-GB"/>
    </w:rPr>
  </w:style>
  <w:style w:type="character" w:customStyle="1" w:styleId="TextChar">
    <w:name w:val="Text Char"/>
    <w:link w:val="Text"/>
    <w:rsid w:val="00533A06"/>
    <w:rPr>
      <w:sz w:val="24"/>
      <w:lang w:val="en-GB" w:eastAsia="en-US" w:bidi="ar-SA"/>
    </w:rPr>
  </w:style>
  <w:style w:type="paragraph" w:styleId="FootnoteText">
    <w:name w:val="footnote text"/>
    <w:basedOn w:val="Normal"/>
    <w:link w:val="FootnoteTextChar1"/>
    <w:semiHidden/>
    <w:rsid w:val="00533A06"/>
    <w:rPr>
      <w:sz w:val="20"/>
      <w:szCs w:val="20"/>
    </w:rPr>
  </w:style>
  <w:style w:type="character" w:customStyle="1" w:styleId="FootnoteTextChar1">
    <w:name w:val="Footnote Text Char1"/>
    <w:link w:val="FootnoteText"/>
    <w:semiHidden/>
    <w:locked/>
    <w:rsid w:val="00533A06"/>
    <w:rPr>
      <w:lang w:val="en-US" w:eastAsia="en-US" w:bidi="ar-SA"/>
    </w:rPr>
  </w:style>
  <w:style w:type="paragraph" w:customStyle="1" w:styleId="wcstandardah1">
    <w:name w:val="wc_standarda h 1"/>
    <w:basedOn w:val="Normal"/>
    <w:next w:val="wcstandardah2"/>
    <w:rsid w:val="00533A06"/>
    <w:pPr>
      <w:keepNext/>
      <w:numPr>
        <w:numId w:val="1"/>
      </w:numPr>
      <w:spacing w:after="240"/>
      <w:jc w:val="both"/>
      <w:outlineLvl w:val="0"/>
    </w:pPr>
    <w:rPr>
      <w:b/>
      <w:caps/>
      <w:lang w:val="en-GB"/>
    </w:rPr>
  </w:style>
  <w:style w:type="paragraph" w:customStyle="1" w:styleId="wcstandardah2">
    <w:name w:val="wc_standarda h 2"/>
    <w:basedOn w:val="Normal"/>
    <w:next w:val="Text"/>
    <w:rsid w:val="00533A06"/>
    <w:pPr>
      <w:numPr>
        <w:ilvl w:val="1"/>
        <w:numId w:val="1"/>
      </w:numPr>
      <w:spacing w:after="240"/>
      <w:jc w:val="both"/>
      <w:outlineLvl w:val="1"/>
    </w:pPr>
    <w:rPr>
      <w:lang w:val="en-GB"/>
    </w:rPr>
  </w:style>
  <w:style w:type="character" w:styleId="FootnoteReference">
    <w:name w:val="footnote reference"/>
    <w:semiHidden/>
    <w:rsid w:val="00533A06"/>
    <w:rPr>
      <w:vertAlign w:val="superscript"/>
    </w:rPr>
  </w:style>
  <w:style w:type="paragraph" w:styleId="TOC1">
    <w:name w:val="toc 1"/>
    <w:basedOn w:val="Normal"/>
    <w:next w:val="Normal"/>
    <w:autoRedefine/>
    <w:uiPriority w:val="39"/>
    <w:rsid w:val="00533A06"/>
    <w:pPr>
      <w:tabs>
        <w:tab w:val="left" w:pos="0"/>
        <w:tab w:val="right" w:leader="dot" w:pos="9000"/>
      </w:tabs>
      <w:spacing w:beforeLines="60" w:afterLines="60"/>
      <w:ind w:left="741" w:right="299" w:hanging="741"/>
    </w:pPr>
    <w:rPr>
      <w:lang w:val="ru-RU"/>
    </w:rPr>
  </w:style>
  <w:style w:type="paragraph" w:styleId="TOC2">
    <w:name w:val="toc 2"/>
    <w:basedOn w:val="Normal"/>
    <w:next w:val="Normal"/>
    <w:autoRedefine/>
    <w:semiHidden/>
    <w:rsid w:val="00533A06"/>
    <w:pPr>
      <w:ind w:left="240"/>
    </w:pPr>
  </w:style>
  <w:style w:type="paragraph" w:styleId="TOC3">
    <w:name w:val="toc 3"/>
    <w:basedOn w:val="Normal"/>
    <w:next w:val="Normal"/>
    <w:autoRedefine/>
    <w:semiHidden/>
    <w:rsid w:val="00533A06"/>
    <w:pPr>
      <w:ind w:left="480"/>
    </w:pPr>
  </w:style>
  <w:style w:type="paragraph" w:styleId="TOC4">
    <w:name w:val="toc 4"/>
    <w:basedOn w:val="Normal"/>
    <w:next w:val="Normal"/>
    <w:autoRedefine/>
    <w:semiHidden/>
    <w:rsid w:val="00533A06"/>
    <w:pPr>
      <w:ind w:left="720"/>
    </w:pPr>
  </w:style>
  <w:style w:type="paragraph" w:styleId="TOC5">
    <w:name w:val="toc 5"/>
    <w:basedOn w:val="Normal"/>
    <w:next w:val="Normal"/>
    <w:autoRedefine/>
    <w:semiHidden/>
    <w:rsid w:val="00533A06"/>
    <w:pPr>
      <w:ind w:left="960"/>
    </w:pPr>
  </w:style>
  <w:style w:type="paragraph" w:styleId="TOC6">
    <w:name w:val="toc 6"/>
    <w:basedOn w:val="Normal"/>
    <w:next w:val="Normal"/>
    <w:autoRedefine/>
    <w:semiHidden/>
    <w:rsid w:val="00533A06"/>
    <w:pPr>
      <w:ind w:left="1200"/>
    </w:pPr>
  </w:style>
  <w:style w:type="paragraph" w:styleId="TOC7">
    <w:name w:val="toc 7"/>
    <w:basedOn w:val="Normal"/>
    <w:next w:val="Normal"/>
    <w:autoRedefine/>
    <w:semiHidden/>
    <w:rsid w:val="00533A06"/>
    <w:pPr>
      <w:ind w:left="1440"/>
    </w:pPr>
  </w:style>
  <w:style w:type="paragraph" w:styleId="TOC8">
    <w:name w:val="toc 8"/>
    <w:basedOn w:val="Normal"/>
    <w:next w:val="Normal"/>
    <w:autoRedefine/>
    <w:semiHidden/>
    <w:rsid w:val="00533A06"/>
    <w:pPr>
      <w:ind w:left="1680"/>
    </w:pPr>
  </w:style>
  <w:style w:type="paragraph" w:styleId="TOC9">
    <w:name w:val="toc 9"/>
    <w:basedOn w:val="Normal"/>
    <w:next w:val="Normal"/>
    <w:autoRedefine/>
    <w:semiHidden/>
    <w:rsid w:val="00533A06"/>
    <w:pPr>
      <w:ind w:left="1920"/>
    </w:pPr>
  </w:style>
  <w:style w:type="paragraph" w:styleId="BalloonText">
    <w:name w:val="Balloon Text"/>
    <w:basedOn w:val="Normal"/>
    <w:semiHidden/>
    <w:rsid w:val="00533A06"/>
    <w:rPr>
      <w:rFonts w:ascii="Tahoma" w:hAnsi="Tahoma" w:cs="Tahoma"/>
      <w:sz w:val="16"/>
      <w:szCs w:val="16"/>
    </w:rPr>
  </w:style>
  <w:style w:type="paragraph" w:customStyle="1" w:styleId="Heading10">
    <w:name w:val="Heading 10"/>
    <w:basedOn w:val="Heading4"/>
    <w:rsid w:val="00533A06"/>
  </w:style>
  <w:style w:type="table" w:styleId="TableGrid">
    <w:name w:val="Table Grid"/>
    <w:basedOn w:val="TableNormal"/>
    <w:rsid w:val="00533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cstandardah3">
    <w:name w:val="wc_standarda h 3"/>
    <w:basedOn w:val="Normal"/>
    <w:rsid w:val="00533A06"/>
    <w:pPr>
      <w:numPr>
        <w:ilvl w:val="2"/>
        <w:numId w:val="1"/>
      </w:numPr>
      <w:spacing w:after="240"/>
      <w:jc w:val="both"/>
      <w:outlineLvl w:val="2"/>
    </w:pPr>
    <w:rPr>
      <w:lang w:val="en-GB"/>
    </w:rPr>
  </w:style>
  <w:style w:type="paragraph" w:customStyle="1" w:styleId="wcstandardah4">
    <w:name w:val="wc_standarda h 4"/>
    <w:basedOn w:val="Normal"/>
    <w:rsid w:val="00533A06"/>
    <w:pPr>
      <w:numPr>
        <w:ilvl w:val="3"/>
        <w:numId w:val="1"/>
      </w:numPr>
      <w:spacing w:after="240"/>
      <w:jc w:val="both"/>
      <w:outlineLvl w:val="3"/>
    </w:pPr>
    <w:rPr>
      <w:lang w:val="en-GB"/>
    </w:rPr>
  </w:style>
  <w:style w:type="paragraph" w:customStyle="1" w:styleId="wcstandardah5">
    <w:name w:val="wc_standarda h 5"/>
    <w:basedOn w:val="Normal"/>
    <w:rsid w:val="00533A06"/>
    <w:pPr>
      <w:numPr>
        <w:ilvl w:val="4"/>
        <w:numId w:val="1"/>
      </w:numPr>
      <w:spacing w:after="240"/>
      <w:jc w:val="both"/>
      <w:outlineLvl w:val="4"/>
    </w:pPr>
    <w:rPr>
      <w:lang w:val="en-GB"/>
    </w:rPr>
  </w:style>
  <w:style w:type="paragraph" w:customStyle="1" w:styleId="wcstandardah6">
    <w:name w:val="wc_standarda h 6"/>
    <w:basedOn w:val="Normal"/>
    <w:rsid w:val="00533A06"/>
    <w:pPr>
      <w:spacing w:after="240"/>
      <w:ind w:left="3600" w:hanging="720"/>
      <w:jc w:val="both"/>
      <w:outlineLvl w:val="5"/>
    </w:pPr>
    <w:rPr>
      <w:lang w:val="en-GB"/>
    </w:rPr>
  </w:style>
  <w:style w:type="paragraph" w:customStyle="1" w:styleId="wcstandardah7">
    <w:name w:val="wc_standarda h 7"/>
    <w:basedOn w:val="Normal"/>
    <w:rsid w:val="00533A06"/>
    <w:pPr>
      <w:spacing w:after="240"/>
      <w:ind w:left="4320" w:hanging="720"/>
      <w:jc w:val="both"/>
      <w:outlineLvl w:val="6"/>
    </w:pPr>
    <w:rPr>
      <w:lang w:val="en-GB"/>
    </w:rPr>
  </w:style>
  <w:style w:type="paragraph" w:customStyle="1" w:styleId="wcstandardah8">
    <w:name w:val="wc_standarda h 8"/>
    <w:basedOn w:val="Normal"/>
    <w:next w:val="Text"/>
    <w:rsid w:val="00533A06"/>
    <w:pPr>
      <w:spacing w:after="240"/>
      <w:jc w:val="both"/>
      <w:outlineLvl w:val="7"/>
    </w:pPr>
    <w:rPr>
      <w:lang w:val="en-GB"/>
    </w:rPr>
  </w:style>
  <w:style w:type="paragraph" w:customStyle="1" w:styleId="wcstandardah9">
    <w:name w:val="wc_standarda h 9"/>
    <w:basedOn w:val="Normal"/>
    <w:next w:val="Text"/>
    <w:rsid w:val="00533A06"/>
    <w:pPr>
      <w:spacing w:after="240"/>
      <w:jc w:val="both"/>
      <w:outlineLvl w:val="8"/>
    </w:pPr>
    <w:rPr>
      <w:lang w:val="en-GB"/>
    </w:rPr>
  </w:style>
  <w:style w:type="paragraph" w:customStyle="1" w:styleId="Schedule">
    <w:name w:val="Schedule"/>
    <w:basedOn w:val="BodyText"/>
    <w:rsid w:val="00533A06"/>
    <w:pPr>
      <w:spacing w:before="240" w:line="264" w:lineRule="auto"/>
      <w:jc w:val="center"/>
    </w:pPr>
    <w:rPr>
      <w:b/>
      <w:lang w:val="en-GB"/>
    </w:rPr>
  </w:style>
  <w:style w:type="character" w:styleId="Hyperlink">
    <w:name w:val="Hyperlink"/>
    <w:uiPriority w:val="99"/>
    <w:rsid w:val="00533A06"/>
    <w:rPr>
      <w:color w:val="0000FF"/>
      <w:u w:val="single"/>
    </w:rPr>
  </w:style>
  <w:style w:type="paragraph" w:customStyle="1" w:styleId="CharCharChar">
    <w:name w:val="Char Char Char"/>
    <w:basedOn w:val="Normal"/>
    <w:rsid w:val="00533A06"/>
    <w:pPr>
      <w:spacing w:after="160" w:line="240" w:lineRule="exact"/>
    </w:pPr>
    <w:rPr>
      <w:noProof/>
      <w:sz w:val="20"/>
      <w:szCs w:val="20"/>
      <w:lang w:val="en-GB" w:eastAsia="ru-RU"/>
    </w:rPr>
  </w:style>
  <w:style w:type="paragraph" w:customStyle="1" w:styleId="CharCharCharCharCharCharCharChar1CharChar1Char">
    <w:name w:val="Char Char Char Char Char Char Char Char1 Char Char1 Char"/>
    <w:basedOn w:val="Normal"/>
    <w:rsid w:val="00533A06"/>
    <w:pPr>
      <w:spacing w:after="160" w:line="240" w:lineRule="exact"/>
    </w:pPr>
    <w:rPr>
      <w:rFonts w:ascii="Verdana" w:hAnsi="Verdana"/>
      <w:noProof/>
      <w:sz w:val="20"/>
      <w:szCs w:val="20"/>
      <w:lang w:val="en-GB"/>
    </w:rPr>
  </w:style>
  <w:style w:type="paragraph" w:customStyle="1" w:styleId="CharChar6Char">
    <w:name w:val="Char Char6 Char"/>
    <w:basedOn w:val="Normal"/>
    <w:rsid w:val="00533A06"/>
    <w:pPr>
      <w:autoSpaceDE w:val="0"/>
      <w:autoSpaceDN w:val="0"/>
      <w:spacing w:after="160" w:line="240" w:lineRule="exact"/>
    </w:pPr>
    <w:rPr>
      <w:rFonts w:ascii="Arial" w:hAnsi="Arial" w:cs="Arial"/>
      <w:b/>
      <w:bCs/>
      <w:sz w:val="20"/>
      <w:szCs w:val="20"/>
      <w:lang w:eastAsia="de-DE"/>
    </w:rPr>
  </w:style>
  <w:style w:type="paragraph" w:customStyle="1" w:styleId="1Char">
    <w:name w:val="Знак Знак1 Char"/>
    <w:basedOn w:val="Normal"/>
    <w:rsid w:val="00533A06"/>
    <w:pPr>
      <w:spacing w:after="160" w:line="240" w:lineRule="exact"/>
    </w:pPr>
    <w:rPr>
      <w:rFonts w:ascii="Verdana" w:hAnsi="Verdana"/>
      <w:sz w:val="20"/>
      <w:szCs w:val="20"/>
      <w:lang w:val="en-GB"/>
    </w:rPr>
  </w:style>
  <w:style w:type="paragraph" w:customStyle="1" w:styleId="CharChar">
    <w:name w:val="Char Char"/>
    <w:basedOn w:val="Normal"/>
    <w:rsid w:val="00533A06"/>
    <w:pPr>
      <w:spacing w:after="160" w:line="240" w:lineRule="exact"/>
    </w:pPr>
    <w:rPr>
      <w:rFonts w:ascii="Verdana" w:hAnsi="Verdana"/>
      <w:noProof/>
      <w:sz w:val="20"/>
      <w:szCs w:val="20"/>
      <w:lang w:val="en-GB"/>
    </w:rPr>
  </w:style>
  <w:style w:type="character" w:styleId="CommentReference">
    <w:name w:val="annotation reference"/>
    <w:semiHidden/>
    <w:rsid w:val="00533A06"/>
    <w:rPr>
      <w:sz w:val="16"/>
      <w:szCs w:val="16"/>
    </w:rPr>
  </w:style>
  <w:style w:type="paragraph" w:styleId="CommentText">
    <w:name w:val="annotation text"/>
    <w:basedOn w:val="Normal"/>
    <w:semiHidden/>
    <w:rsid w:val="00533A06"/>
    <w:rPr>
      <w:sz w:val="20"/>
      <w:szCs w:val="20"/>
    </w:rPr>
  </w:style>
  <w:style w:type="paragraph" w:styleId="CommentSubject">
    <w:name w:val="annotation subject"/>
    <w:basedOn w:val="CommentText"/>
    <w:next w:val="CommentText"/>
    <w:semiHidden/>
    <w:rsid w:val="00533A06"/>
    <w:rPr>
      <w:b/>
      <w:bCs/>
    </w:rPr>
  </w:style>
  <w:style w:type="paragraph" w:customStyle="1" w:styleId="1">
    <w:name w:val="Знак Знак1"/>
    <w:basedOn w:val="Normal"/>
    <w:rsid w:val="00533A06"/>
    <w:pPr>
      <w:spacing w:after="160" w:line="240" w:lineRule="exact"/>
    </w:pPr>
    <w:rPr>
      <w:rFonts w:ascii="Verdana" w:hAnsi="Verdana"/>
      <w:sz w:val="20"/>
      <w:szCs w:val="20"/>
      <w:lang w:val="en-GB"/>
    </w:rPr>
  </w:style>
  <w:style w:type="character" w:customStyle="1" w:styleId="Char2">
    <w:name w:val="Char2"/>
    <w:rsid w:val="00533A06"/>
    <w:rPr>
      <w:sz w:val="24"/>
      <w:szCs w:val="24"/>
      <w:lang w:val="en-US" w:eastAsia="en-US" w:bidi="ar-SA"/>
    </w:rPr>
  </w:style>
  <w:style w:type="character" w:customStyle="1" w:styleId="A1Char1">
    <w:name w:val="A1 Char1"/>
    <w:rsid w:val="00533A06"/>
    <w:rPr>
      <w:sz w:val="24"/>
      <w:szCs w:val="24"/>
      <w:lang w:val="en-US" w:eastAsia="en-US" w:bidi="ar-SA"/>
    </w:rPr>
  </w:style>
  <w:style w:type="paragraph" w:customStyle="1" w:styleId="CharChar0">
    <w:name w:val="Знак Знак Char Char"/>
    <w:basedOn w:val="Normal"/>
    <w:rsid w:val="00533A06"/>
    <w:pPr>
      <w:spacing w:after="160" w:line="240" w:lineRule="exact"/>
    </w:pPr>
    <w:rPr>
      <w:noProof/>
      <w:sz w:val="20"/>
      <w:szCs w:val="20"/>
      <w:lang w:val="en-GB" w:eastAsia="ru-RU"/>
    </w:rPr>
  </w:style>
  <w:style w:type="character" w:customStyle="1" w:styleId="BodyTextChar">
    <w:name w:val="Body Text Char"/>
    <w:aliases w:val="A1 Char"/>
    <w:rsid w:val="00533A06"/>
    <w:rPr>
      <w:rFonts w:cs="Times New Roman"/>
      <w:sz w:val="24"/>
      <w:szCs w:val="24"/>
      <w:lang w:val="en-US" w:eastAsia="en-US" w:bidi="ar-SA"/>
    </w:rPr>
  </w:style>
  <w:style w:type="character" w:customStyle="1" w:styleId="FootnoteTextChar">
    <w:name w:val="Footnote Text Char"/>
    <w:semiHidden/>
    <w:rsid w:val="00533A06"/>
    <w:rPr>
      <w:rFonts w:cs="Times New Roman"/>
      <w:lang w:val="en-US" w:eastAsia="en-US" w:bidi="ar-SA"/>
    </w:rPr>
  </w:style>
  <w:style w:type="paragraph" w:customStyle="1" w:styleId="CharCharCharCharCharCharCharChar1CharChar">
    <w:name w:val="Char Char Char Char Char Char Char Char1 Char Char"/>
    <w:basedOn w:val="Normal"/>
    <w:rsid w:val="00533A06"/>
    <w:pPr>
      <w:spacing w:after="160" w:line="240" w:lineRule="exact"/>
    </w:pPr>
    <w:rPr>
      <w:rFonts w:ascii="Verdana" w:hAnsi="Verdana"/>
      <w:noProof/>
      <w:sz w:val="20"/>
      <w:szCs w:val="20"/>
      <w:lang w:val="en-GB"/>
    </w:rPr>
  </w:style>
  <w:style w:type="character" w:customStyle="1" w:styleId="HeaderChar">
    <w:name w:val="Header Char"/>
    <w:link w:val="Header"/>
    <w:uiPriority w:val="99"/>
    <w:rsid w:val="00533A06"/>
    <w:rPr>
      <w:sz w:val="24"/>
      <w:szCs w:val="24"/>
      <w:lang w:eastAsia="en-US"/>
    </w:rPr>
  </w:style>
  <w:style w:type="paragraph" w:styleId="NoSpacing">
    <w:name w:val="No Spacing"/>
    <w:uiPriority w:val="1"/>
    <w:qFormat/>
    <w:rsid w:val="00533A06"/>
    <w:rPr>
      <w:sz w:val="24"/>
      <w:szCs w:val="24"/>
      <w:lang w:val="en-US" w:eastAsia="en-US"/>
    </w:rPr>
  </w:style>
  <w:style w:type="paragraph" w:styleId="ListParagraph">
    <w:name w:val="List Paragraph"/>
    <w:basedOn w:val="Normal"/>
    <w:uiPriority w:val="34"/>
    <w:qFormat/>
    <w:rsid w:val="00533A06"/>
    <w:pPr>
      <w:widowControl w:val="0"/>
      <w:overflowPunct w:val="0"/>
      <w:autoSpaceDE w:val="0"/>
      <w:autoSpaceDN w:val="0"/>
      <w:adjustRightInd w:val="0"/>
      <w:ind w:left="720"/>
      <w:contextualSpacing/>
      <w:textAlignment w:val="baseline"/>
    </w:pPr>
    <w:rPr>
      <w:rFonts w:ascii="Courier" w:hAnsi="Courier"/>
      <w:szCs w:val="20"/>
      <w:lang w:val="nl" w:eastAsia="nl-NL"/>
    </w:rPr>
  </w:style>
  <w:style w:type="character" w:customStyle="1" w:styleId="FooterChar">
    <w:name w:val="Footer Char"/>
    <w:link w:val="Footer"/>
    <w:uiPriority w:val="99"/>
    <w:rsid w:val="00533A06"/>
    <w:rPr>
      <w:sz w:val="16"/>
      <w:szCs w:val="16"/>
      <w:lang w:eastAsia="en-US"/>
    </w:rPr>
  </w:style>
  <w:style w:type="paragraph" w:customStyle="1" w:styleId="1CharChar">
    <w:name w:val="Знак Знак1 Char Знак Знак Char"/>
    <w:basedOn w:val="Normal"/>
    <w:rsid w:val="00533A06"/>
    <w:pPr>
      <w:spacing w:after="160" w:line="240" w:lineRule="exact"/>
    </w:pPr>
    <w:rPr>
      <w:rFonts w:ascii="Verdana" w:hAnsi="Verdana"/>
      <w:sz w:val="20"/>
      <w:szCs w:val="20"/>
      <w:lang w:val="en-GB"/>
    </w:rPr>
  </w:style>
  <w:style w:type="paragraph" w:customStyle="1" w:styleId="StandardL3">
    <w:name w:val="Standard_L3"/>
    <w:basedOn w:val="Normal"/>
    <w:qFormat/>
    <w:rsid w:val="00533A06"/>
    <w:pPr>
      <w:spacing w:after="240"/>
      <w:jc w:val="both"/>
      <w:outlineLvl w:val="2"/>
    </w:pPr>
    <w:rPr>
      <w:rFonts w:ascii="Arial" w:hAnsi="Arial" w:cs="Arial"/>
      <w:sz w:val="20"/>
      <w:szCs w:val="20"/>
      <w:lang w:val="en-GB" w:eastAsia="en-CA"/>
    </w:rPr>
  </w:style>
  <w:style w:type="paragraph" w:customStyle="1" w:styleId="Legal3L1">
    <w:name w:val="Legal3_L1"/>
    <w:basedOn w:val="Normal"/>
    <w:next w:val="Legal3L2"/>
    <w:uiPriority w:val="49"/>
    <w:qFormat/>
    <w:rsid w:val="00533A06"/>
    <w:pPr>
      <w:keepNext/>
      <w:numPr>
        <w:numId w:val="6"/>
      </w:numPr>
      <w:spacing w:after="240"/>
      <w:jc w:val="both"/>
      <w:outlineLvl w:val="0"/>
    </w:pPr>
    <w:rPr>
      <w:rFonts w:ascii="Arial" w:hAnsi="Arial" w:cs="Arial"/>
      <w:b/>
      <w:color w:val="000000"/>
      <w:szCs w:val="20"/>
      <w:lang w:val="ru-RU" w:eastAsia="en-CA"/>
    </w:rPr>
  </w:style>
  <w:style w:type="paragraph" w:customStyle="1" w:styleId="Legal3L2">
    <w:name w:val="Legal3_L2"/>
    <w:basedOn w:val="Normal"/>
    <w:uiPriority w:val="49"/>
    <w:qFormat/>
    <w:rsid w:val="00533A06"/>
    <w:pPr>
      <w:numPr>
        <w:ilvl w:val="1"/>
        <w:numId w:val="6"/>
      </w:numPr>
      <w:spacing w:after="240"/>
      <w:jc w:val="both"/>
      <w:outlineLvl w:val="1"/>
    </w:pPr>
    <w:rPr>
      <w:rFonts w:ascii="Arial" w:hAnsi="Arial" w:cs="Arial"/>
      <w:color w:val="000000"/>
      <w:sz w:val="20"/>
      <w:szCs w:val="20"/>
      <w:lang w:val="ru-RU" w:eastAsia="en-CA"/>
    </w:rPr>
  </w:style>
  <w:style w:type="paragraph" w:customStyle="1" w:styleId="Legal3L3">
    <w:name w:val="Legal3_L3"/>
    <w:basedOn w:val="Normal"/>
    <w:uiPriority w:val="49"/>
    <w:qFormat/>
    <w:rsid w:val="00533A06"/>
    <w:pPr>
      <w:numPr>
        <w:ilvl w:val="2"/>
        <w:numId w:val="6"/>
      </w:numPr>
      <w:spacing w:after="240"/>
      <w:jc w:val="both"/>
      <w:outlineLvl w:val="2"/>
    </w:pPr>
    <w:rPr>
      <w:rFonts w:ascii="Arial" w:hAnsi="Arial" w:cs="Arial"/>
      <w:sz w:val="20"/>
      <w:szCs w:val="20"/>
      <w:lang w:val="ru-RU" w:eastAsia="en-CA"/>
    </w:rPr>
  </w:style>
  <w:style w:type="paragraph" w:customStyle="1" w:styleId="Legal3L4">
    <w:name w:val="Legal3_L4"/>
    <w:basedOn w:val="Normal"/>
    <w:uiPriority w:val="49"/>
    <w:qFormat/>
    <w:rsid w:val="00533A06"/>
    <w:pPr>
      <w:numPr>
        <w:ilvl w:val="3"/>
        <w:numId w:val="6"/>
      </w:numPr>
      <w:spacing w:after="240"/>
      <w:jc w:val="both"/>
      <w:outlineLvl w:val="3"/>
    </w:pPr>
    <w:rPr>
      <w:rFonts w:ascii="Arial" w:hAnsi="Arial" w:cs="Arial"/>
      <w:sz w:val="20"/>
      <w:szCs w:val="20"/>
      <w:lang w:val="ru-RU" w:eastAsia="en-CA"/>
    </w:rPr>
  </w:style>
  <w:style w:type="paragraph" w:customStyle="1" w:styleId="Legal3L5">
    <w:name w:val="Legal3_L5"/>
    <w:basedOn w:val="Normal"/>
    <w:uiPriority w:val="49"/>
    <w:qFormat/>
    <w:rsid w:val="00533A06"/>
    <w:pPr>
      <w:numPr>
        <w:ilvl w:val="4"/>
        <w:numId w:val="6"/>
      </w:numPr>
      <w:spacing w:after="240"/>
      <w:jc w:val="both"/>
      <w:outlineLvl w:val="4"/>
    </w:pPr>
    <w:rPr>
      <w:rFonts w:ascii="Arial" w:hAnsi="Arial" w:cs="Arial"/>
      <w:sz w:val="20"/>
      <w:szCs w:val="20"/>
      <w:lang w:val="ru-RU" w:eastAsia="en-CA"/>
    </w:rPr>
  </w:style>
  <w:style w:type="paragraph" w:customStyle="1" w:styleId="Legal3L6">
    <w:name w:val="Legal3_L6"/>
    <w:basedOn w:val="Normal"/>
    <w:uiPriority w:val="49"/>
    <w:qFormat/>
    <w:rsid w:val="00533A06"/>
    <w:pPr>
      <w:numPr>
        <w:ilvl w:val="5"/>
        <w:numId w:val="6"/>
      </w:numPr>
      <w:spacing w:after="240"/>
      <w:jc w:val="both"/>
      <w:outlineLvl w:val="5"/>
    </w:pPr>
    <w:rPr>
      <w:rFonts w:ascii="Arial" w:hAnsi="Arial" w:cs="Arial"/>
      <w:sz w:val="20"/>
      <w:szCs w:val="20"/>
      <w:lang w:val="ru-RU" w:eastAsia="en-CA"/>
    </w:rPr>
  </w:style>
  <w:style w:type="paragraph" w:customStyle="1" w:styleId="Legal3L7">
    <w:name w:val="Legal3_L7"/>
    <w:basedOn w:val="Normal"/>
    <w:uiPriority w:val="49"/>
    <w:qFormat/>
    <w:rsid w:val="00533A06"/>
    <w:pPr>
      <w:numPr>
        <w:ilvl w:val="6"/>
        <w:numId w:val="6"/>
      </w:numPr>
      <w:spacing w:after="240"/>
      <w:jc w:val="both"/>
      <w:outlineLvl w:val="6"/>
    </w:pPr>
    <w:rPr>
      <w:rFonts w:ascii="Arial" w:hAnsi="Arial" w:cs="Arial"/>
      <w:sz w:val="20"/>
      <w:szCs w:val="20"/>
      <w:lang w:val="ru-RU" w:eastAsia="en-CA"/>
    </w:rPr>
  </w:style>
  <w:style w:type="paragraph" w:customStyle="1" w:styleId="Legal3L8">
    <w:name w:val="Legal3_L8"/>
    <w:basedOn w:val="Normal"/>
    <w:uiPriority w:val="49"/>
    <w:qFormat/>
    <w:rsid w:val="00533A06"/>
    <w:pPr>
      <w:numPr>
        <w:ilvl w:val="7"/>
        <w:numId w:val="6"/>
      </w:numPr>
      <w:spacing w:after="240"/>
      <w:jc w:val="both"/>
      <w:outlineLvl w:val="7"/>
    </w:pPr>
    <w:rPr>
      <w:rFonts w:ascii="Arial" w:hAnsi="Arial" w:cs="Arial"/>
      <w:sz w:val="20"/>
      <w:szCs w:val="20"/>
      <w:lang w:val="ru-RU" w:eastAsia="en-CA"/>
    </w:rPr>
  </w:style>
  <w:style w:type="paragraph" w:customStyle="1" w:styleId="Legal3L9">
    <w:name w:val="Legal3_L9"/>
    <w:basedOn w:val="Normal"/>
    <w:uiPriority w:val="49"/>
    <w:qFormat/>
    <w:rsid w:val="00533A06"/>
    <w:pPr>
      <w:numPr>
        <w:ilvl w:val="8"/>
        <w:numId w:val="6"/>
      </w:numPr>
      <w:spacing w:after="240"/>
      <w:jc w:val="both"/>
      <w:outlineLvl w:val="8"/>
    </w:pPr>
    <w:rPr>
      <w:rFonts w:ascii="Arial" w:hAnsi="Arial" w:cs="Arial"/>
      <w:sz w:val="20"/>
      <w:szCs w:val="20"/>
      <w:lang w:val="ru-RU" w:eastAsia="en-CA"/>
    </w:rPr>
  </w:style>
  <w:style w:type="numbering" w:customStyle="1" w:styleId="Legal3List">
    <w:name w:val="Legal3. List"/>
    <w:basedOn w:val="NoList"/>
    <w:rsid w:val="00533A06"/>
    <w:pPr>
      <w:numPr>
        <w:numId w:val="6"/>
      </w:numPr>
    </w:pPr>
  </w:style>
  <w:style w:type="numbering" w:customStyle="1" w:styleId="StandardList4">
    <w:name w:val="_Standard List4"/>
    <w:basedOn w:val="NoList"/>
    <w:rsid w:val="00533A06"/>
    <w:pPr>
      <w:numPr>
        <w:numId w:val="18"/>
      </w:numPr>
    </w:pPr>
  </w:style>
  <w:style w:type="character" w:customStyle="1" w:styleId="Heading2Char">
    <w:name w:val="Heading 2 Char"/>
    <w:aliases w:val="Lev 2 Char,Reset numbering Char,Major Char,H2 Char,Clause Char,Niveau 1 1 Char,Paragraafkop Char,Jhed2 Char,2 Char,sub-sect Char,h2 Char,section header Char,no section Char,21 Char,sub-sect1 Char,22 Char,sub-sect2 Char,23 Char,24 Char"/>
    <w:link w:val="Heading2"/>
    <w:locked/>
    <w:rsid w:val="009813D5"/>
    <w:rPr>
      <w:bCs/>
      <w:iCs/>
      <w:sz w:val="22"/>
      <w:szCs w:val="24"/>
      <w:lang w:val="en-US" w:eastAsia="en-US"/>
    </w:rPr>
  </w:style>
  <w:style w:type="paragraph" w:customStyle="1" w:styleId="FWBL1">
    <w:name w:val="FWB_L1"/>
    <w:basedOn w:val="Normal"/>
    <w:next w:val="FWBL2"/>
    <w:rsid w:val="00533A06"/>
    <w:pPr>
      <w:keepNext/>
      <w:keepLines/>
      <w:numPr>
        <w:numId w:val="7"/>
      </w:numPr>
      <w:spacing w:after="240"/>
      <w:outlineLvl w:val="0"/>
    </w:pPr>
    <w:rPr>
      <w:b/>
      <w:smallCaps/>
      <w:szCs w:val="20"/>
      <w:lang w:val="en-GB"/>
    </w:rPr>
  </w:style>
  <w:style w:type="paragraph" w:customStyle="1" w:styleId="FWBL2">
    <w:name w:val="FWB_L2"/>
    <w:basedOn w:val="FWBL1"/>
    <w:rsid w:val="00533A06"/>
    <w:pPr>
      <w:keepNext w:val="0"/>
      <w:keepLines w:val="0"/>
      <w:numPr>
        <w:ilvl w:val="1"/>
      </w:numPr>
      <w:jc w:val="both"/>
      <w:outlineLvl w:val="9"/>
    </w:pPr>
    <w:rPr>
      <w:b w:val="0"/>
      <w:smallCaps w:val="0"/>
    </w:rPr>
  </w:style>
  <w:style w:type="paragraph" w:customStyle="1" w:styleId="FWBL3">
    <w:name w:val="FWB_L3"/>
    <w:basedOn w:val="FWBL2"/>
    <w:rsid w:val="00533A06"/>
    <w:pPr>
      <w:numPr>
        <w:ilvl w:val="2"/>
      </w:numPr>
    </w:pPr>
  </w:style>
  <w:style w:type="paragraph" w:customStyle="1" w:styleId="FWBL4">
    <w:name w:val="FWB_L4"/>
    <w:basedOn w:val="FWBL3"/>
    <w:rsid w:val="00533A06"/>
    <w:pPr>
      <w:numPr>
        <w:ilvl w:val="3"/>
      </w:numPr>
    </w:pPr>
  </w:style>
  <w:style w:type="paragraph" w:customStyle="1" w:styleId="FWBL5">
    <w:name w:val="FWB_L5"/>
    <w:basedOn w:val="FWBL4"/>
    <w:rsid w:val="00533A06"/>
    <w:pPr>
      <w:numPr>
        <w:ilvl w:val="4"/>
      </w:numPr>
    </w:pPr>
  </w:style>
  <w:style w:type="paragraph" w:customStyle="1" w:styleId="FWBL6">
    <w:name w:val="FWB_L6"/>
    <w:basedOn w:val="FWBL5"/>
    <w:rsid w:val="00533A06"/>
    <w:pPr>
      <w:numPr>
        <w:ilvl w:val="5"/>
      </w:numPr>
    </w:pPr>
  </w:style>
  <w:style w:type="paragraph" w:customStyle="1" w:styleId="FWBL7">
    <w:name w:val="FWB_L7"/>
    <w:basedOn w:val="FWBL6"/>
    <w:rsid w:val="00533A06"/>
    <w:pPr>
      <w:numPr>
        <w:ilvl w:val="6"/>
      </w:numPr>
    </w:pPr>
  </w:style>
  <w:style w:type="paragraph" w:customStyle="1" w:styleId="FWBL8">
    <w:name w:val="FWB_L8"/>
    <w:basedOn w:val="FWBL7"/>
    <w:rsid w:val="00533A06"/>
    <w:pPr>
      <w:numPr>
        <w:ilvl w:val="7"/>
      </w:numPr>
    </w:pPr>
  </w:style>
  <w:style w:type="paragraph" w:customStyle="1" w:styleId="ConsPlusNormal">
    <w:name w:val="ConsPlusNormal"/>
    <w:rsid w:val="00533A06"/>
    <w:pPr>
      <w:autoSpaceDE w:val="0"/>
      <w:autoSpaceDN w:val="0"/>
      <w:adjustRightInd w:val="0"/>
    </w:pPr>
    <w:rPr>
      <w:rFonts w:ascii="Arial" w:hAnsi="Arial" w:cs="Arial"/>
      <w:lang w:val="en-US" w:eastAsia="zh-CN"/>
    </w:rPr>
  </w:style>
  <w:style w:type="paragraph" w:customStyle="1" w:styleId="BodyTextBold">
    <w:name w:val="#BodyText=Bold"/>
    <w:basedOn w:val="Normal"/>
    <w:uiPriority w:val="3"/>
    <w:qFormat/>
    <w:rsid w:val="00533A06"/>
    <w:pPr>
      <w:spacing w:after="240"/>
      <w:jc w:val="both"/>
    </w:pPr>
    <w:rPr>
      <w:rFonts w:ascii="Arial" w:hAnsi="Arial"/>
      <w:b/>
      <w:sz w:val="20"/>
      <w:szCs w:val="20"/>
      <w:lang w:val="en-GB" w:eastAsia="en-CA"/>
    </w:rPr>
  </w:style>
  <w:style w:type="paragraph" w:customStyle="1" w:styleId="SimpleL1">
    <w:name w:val="Simple_L1"/>
    <w:basedOn w:val="Normal"/>
    <w:uiPriority w:val="49"/>
    <w:qFormat/>
    <w:rsid w:val="00533A06"/>
    <w:pPr>
      <w:numPr>
        <w:numId w:val="8"/>
      </w:numPr>
      <w:spacing w:after="240"/>
      <w:jc w:val="both"/>
      <w:outlineLvl w:val="0"/>
    </w:pPr>
    <w:rPr>
      <w:rFonts w:ascii="Arial" w:hAnsi="Arial" w:cs="Arial"/>
      <w:sz w:val="20"/>
      <w:szCs w:val="20"/>
      <w:lang w:val="en-GB" w:eastAsia="en-CA"/>
    </w:rPr>
  </w:style>
  <w:style w:type="paragraph" w:customStyle="1" w:styleId="SimpleL2">
    <w:name w:val="Simple_L2"/>
    <w:basedOn w:val="Normal"/>
    <w:uiPriority w:val="49"/>
    <w:qFormat/>
    <w:rsid w:val="00533A06"/>
    <w:pPr>
      <w:numPr>
        <w:ilvl w:val="1"/>
        <w:numId w:val="8"/>
      </w:numPr>
      <w:spacing w:after="240"/>
      <w:jc w:val="both"/>
      <w:outlineLvl w:val="1"/>
    </w:pPr>
    <w:rPr>
      <w:rFonts w:ascii="Arial" w:hAnsi="Arial" w:cs="Arial"/>
      <w:sz w:val="20"/>
      <w:szCs w:val="20"/>
      <w:lang w:val="en-GB" w:eastAsia="en-CA"/>
    </w:rPr>
  </w:style>
  <w:style w:type="paragraph" w:customStyle="1" w:styleId="SimpleL3">
    <w:name w:val="Simple_L3"/>
    <w:basedOn w:val="Normal"/>
    <w:uiPriority w:val="49"/>
    <w:qFormat/>
    <w:rsid w:val="00533A06"/>
    <w:pPr>
      <w:numPr>
        <w:ilvl w:val="2"/>
        <w:numId w:val="8"/>
      </w:numPr>
      <w:spacing w:after="240"/>
      <w:jc w:val="both"/>
      <w:outlineLvl w:val="2"/>
    </w:pPr>
    <w:rPr>
      <w:rFonts w:ascii="Arial" w:hAnsi="Arial" w:cs="Arial"/>
      <w:sz w:val="20"/>
      <w:szCs w:val="20"/>
      <w:lang w:val="en-GB" w:eastAsia="en-CA"/>
    </w:rPr>
  </w:style>
  <w:style w:type="paragraph" w:customStyle="1" w:styleId="SimpleL4">
    <w:name w:val="Simple_L4"/>
    <w:basedOn w:val="Normal"/>
    <w:uiPriority w:val="49"/>
    <w:qFormat/>
    <w:rsid w:val="00533A06"/>
    <w:pPr>
      <w:numPr>
        <w:ilvl w:val="3"/>
        <w:numId w:val="8"/>
      </w:numPr>
      <w:spacing w:after="240"/>
      <w:jc w:val="both"/>
      <w:outlineLvl w:val="3"/>
    </w:pPr>
    <w:rPr>
      <w:rFonts w:ascii="Arial" w:hAnsi="Arial" w:cs="Arial"/>
      <w:sz w:val="20"/>
      <w:szCs w:val="20"/>
      <w:lang w:val="en-GB" w:eastAsia="en-CA"/>
    </w:rPr>
  </w:style>
  <w:style w:type="paragraph" w:customStyle="1" w:styleId="SimpleL5">
    <w:name w:val="Simple_L5"/>
    <w:basedOn w:val="Normal"/>
    <w:uiPriority w:val="49"/>
    <w:qFormat/>
    <w:rsid w:val="00533A06"/>
    <w:pPr>
      <w:numPr>
        <w:ilvl w:val="4"/>
        <w:numId w:val="8"/>
      </w:numPr>
      <w:spacing w:after="240"/>
      <w:jc w:val="both"/>
      <w:outlineLvl w:val="4"/>
    </w:pPr>
    <w:rPr>
      <w:rFonts w:ascii="Arial" w:hAnsi="Arial" w:cs="Arial"/>
      <w:sz w:val="20"/>
      <w:szCs w:val="20"/>
      <w:lang w:val="en-GB" w:eastAsia="en-CA"/>
    </w:rPr>
  </w:style>
  <w:style w:type="numbering" w:customStyle="1" w:styleId="Legal3List1">
    <w:name w:val="Legal3. List1"/>
    <w:basedOn w:val="NoList"/>
    <w:rsid w:val="00533A06"/>
    <w:pPr>
      <w:numPr>
        <w:numId w:val="8"/>
      </w:numPr>
    </w:pPr>
  </w:style>
  <w:style w:type="paragraph" w:customStyle="1" w:styleId="StandardL4">
    <w:name w:val="Standard_L4"/>
    <w:basedOn w:val="Normal"/>
    <w:link w:val="StandardL4Char"/>
    <w:qFormat/>
    <w:rsid w:val="00533A06"/>
    <w:pPr>
      <w:spacing w:after="240"/>
      <w:jc w:val="both"/>
      <w:outlineLvl w:val="3"/>
    </w:pPr>
    <w:rPr>
      <w:rFonts w:ascii="Arial" w:hAnsi="Arial" w:cs="Arial"/>
      <w:sz w:val="20"/>
      <w:szCs w:val="20"/>
      <w:lang w:val="en-GB" w:eastAsia="en-CA"/>
    </w:rPr>
  </w:style>
  <w:style w:type="character" w:customStyle="1" w:styleId="StandardL4Char">
    <w:name w:val="Standard_L4 Char"/>
    <w:link w:val="StandardL4"/>
    <w:uiPriority w:val="49"/>
    <w:rsid w:val="00533A06"/>
    <w:rPr>
      <w:rFonts w:ascii="Arial" w:hAnsi="Arial" w:cs="Arial"/>
      <w:lang w:val="en-GB" w:eastAsia="en-CA"/>
    </w:rPr>
  </w:style>
  <w:style w:type="paragraph" w:customStyle="1" w:styleId="BodyText0">
    <w:name w:val="#BodyText"/>
    <w:basedOn w:val="Normal"/>
    <w:qFormat/>
    <w:rsid w:val="00533A06"/>
    <w:pPr>
      <w:spacing w:after="240"/>
      <w:jc w:val="both"/>
    </w:pPr>
    <w:rPr>
      <w:rFonts w:ascii="Arial" w:hAnsi="Arial"/>
      <w:sz w:val="20"/>
      <w:szCs w:val="20"/>
      <w:lang w:val="en-GB" w:eastAsia="en-CA"/>
    </w:rPr>
  </w:style>
  <w:style w:type="paragraph" w:styleId="Subtitle">
    <w:name w:val="Subtitle"/>
    <w:basedOn w:val="Normal"/>
    <w:next w:val="Normal"/>
    <w:link w:val="SubtitleChar"/>
    <w:uiPriority w:val="11"/>
    <w:qFormat/>
    <w:rsid w:val="00533A06"/>
    <w:pPr>
      <w:spacing w:after="60"/>
      <w:jc w:val="center"/>
      <w:outlineLvl w:val="1"/>
    </w:pPr>
    <w:rPr>
      <w:rFonts w:ascii="Cambria" w:eastAsia="SimSun" w:hAnsi="Cambria"/>
    </w:rPr>
  </w:style>
  <w:style w:type="character" w:customStyle="1" w:styleId="SubtitleChar">
    <w:name w:val="Subtitle Char"/>
    <w:link w:val="Subtitle"/>
    <w:uiPriority w:val="11"/>
    <w:rsid w:val="00533A06"/>
    <w:rPr>
      <w:rFonts w:ascii="Cambria" w:eastAsia="SimSun" w:hAnsi="Cambria" w:cs="Times New Roman"/>
      <w:sz w:val="24"/>
      <w:szCs w:val="24"/>
      <w:lang w:eastAsia="en-US"/>
    </w:rPr>
  </w:style>
  <w:style w:type="character" w:customStyle="1" w:styleId="apple-converted-space">
    <w:name w:val="apple-converted-space"/>
    <w:rsid w:val="00533A06"/>
  </w:style>
  <w:style w:type="character" w:styleId="Emphasis">
    <w:name w:val="Emphasis"/>
    <w:uiPriority w:val="20"/>
    <w:qFormat/>
    <w:rsid w:val="00533A06"/>
    <w:rPr>
      <w:i/>
      <w:iCs/>
    </w:rPr>
  </w:style>
  <w:style w:type="paragraph" w:customStyle="1" w:styleId="TabbedL1">
    <w:name w:val="Tabbed_L1"/>
    <w:basedOn w:val="Normal"/>
    <w:next w:val="BodyText"/>
    <w:rsid w:val="004627CE"/>
    <w:pPr>
      <w:numPr>
        <w:numId w:val="19"/>
      </w:numPr>
      <w:spacing w:after="240"/>
      <w:jc w:val="both"/>
      <w:outlineLvl w:val="0"/>
    </w:pPr>
    <w:rPr>
      <w:szCs w:val="20"/>
    </w:rPr>
  </w:style>
  <w:style w:type="paragraph" w:customStyle="1" w:styleId="TabbedL2">
    <w:name w:val="Tabbed_L2"/>
    <w:basedOn w:val="TabbedL1"/>
    <w:next w:val="BodyText"/>
    <w:rsid w:val="004627CE"/>
    <w:pPr>
      <w:numPr>
        <w:ilvl w:val="1"/>
      </w:numPr>
      <w:outlineLvl w:val="1"/>
    </w:pPr>
  </w:style>
  <w:style w:type="paragraph" w:customStyle="1" w:styleId="StandardL1">
    <w:name w:val="Standard_L1"/>
    <w:basedOn w:val="Normal"/>
    <w:next w:val="Normal"/>
    <w:rsid w:val="004627CE"/>
    <w:pPr>
      <w:tabs>
        <w:tab w:val="num" w:pos="720"/>
      </w:tabs>
      <w:spacing w:after="240"/>
      <w:jc w:val="both"/>
      <w:outlineLvl w:val="0"/>
    </w:pPr>
    <w:rPr>
      <w:szCs w:val="20"/>
    </w:rPr>
  </w:style>
  <w:style w:type="paragraph" w:customStyle="1" w:styleId="StandardL2">
    <w:name w:val="Standard_L2"/>
    <w:basedOn w:val="StandardL1"/>
    <w:next w:val="Normal"/>
    <w:rsid w:val="004627CE"/>
    <w:pPr>
      <w:tabs>
        <w:tab w:val="clear" w:pos="720"/>
        <w:tab w:val="num" w:pos="1440"/>
      </w:tabs>
      <w:ind w:firstLine="720"/>
      <w:outlineLvl w:val="1"/>
    </w:pPr>
  </w:style>
  <w:style w:type="paragraph" w:customStyle="1" w:styleId="StandardL5">
    <w:name w:val="Standard_L5"/>
    <w:basedOn w:val="StandardL4"/>
    <w:next w:val="Normal"/>
    <w:rsid w:val="004627CE"/>
    <w:pPr>
      <w:tabs>
        <w:tab w:val="num" w:pos="3600"/>
      </w:tabs>
      <w:ind w:firstLine="2880"/>
      <w:outlineLvl w:val="4"/>
    </w:pPr>
    <w:rPr>
      <w:rFonts w:ascii="Times New Roman" w:hAnsi="Times New Roman" w:cs="Times New Roman"/>
      <w:sz w:val="24"/>
      <w:lang w:val="en-US" w:eastAsia="en-US"/>
    </w:rPr>
  </w:style>
  <w:style w:type="paragraph" w:customStyle="1" w:styleId="StandardL6">
    <w:name w:val="Standard_L6"/>
    <w:basedOn w:val="StandardL5"/>
    <w:next w:val="Normal"/>
    <w:rsid w:val="004627CE"/>
    <w:pPr>
      <w:tabs>
        <w:tab w:val="clear" w:pos="3600"/>
        <w:tab w:val="num" w:pos="4320"/>
      </w:tabs>
      <w:ind w:firstLine="3600"/>
      <w:outlineLvl w:val="5"/>
    </w:pPr>
  </w:style>
  <w:style w:type="paragraph" w:customStyle="1" w:styleId="StandardL7">
    <w:name w:val="Standard_L7"/>
    <w:basedOn w:val="StandardL6"/>
    <w:next w:val="Normal"/>
    <w:rsid w:val="004627CE"/>
    <w:pPr>
      <w:tabs>
        <w:tab w:val="clear" w:pos="4320"/>
        <w:tab w:val="num" w:pos="5040"/>
      </w:tabs>
      <w:ind w:firstLine="4320"/>
      <w:outlineLvl w:val="6"/>
    </w:pPr>
  </w:style>
  <w:style w:type="paragraph" w:customStyle="1" w:styleId="StandardL8">
    <w:name w:val="Standard_L8"/>
    <w:basedOn w:val="StandardL7"/>
    <w:next w:val="Normal"/>
    <w:rsid w:val="004627CE"/>
    <w:pPr>
      <w:tabs>
        <w:tab w:val="clear" w:pos="5040"/>
        <w:tab w:val="num" w:pos="5760"/>
      </w:tabs>
      <w:ind w:firstLine="5040"/>
      <w:outlineLvl w:val="7"/>
    </w:pPr>
  </w:style>
  <w:style w:type="paragraph" w:customStyle="1" w:styleId="StandardL9">
    <w:name w:val="Standard_L9"/>
    <w:basedOn w:val="StandardL8"/>
    <w:next w:val="Normal"/>
    <w:rsid w:val="004627CE"/>
    <w:pPr>
      <w:tabs>
        <w:tab w:val="clear" w:pos="5760"/>
        <w:tab w:val="num" w:pos="6480"/>
      </w:tabs>
      <w:ind w:firstLine="576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697872">
      <w:bodyDiv w:val="1"/>
      <w:marLeft w:val="0"/>
      <w:marRight w:val="0"/>
      <w:marTop w:val="0"/>
      <w:marBottom w:val="0"/>
      <w:divBdr>
        <w:top w:val="none" w:sz="0" w:space="0" w:color="auto"/>
        <w:left w:val="none" w:sz="0" w:space="0" w:color="auto"/>
        <w:bottom w:val="none" w:sz="0" w:space="0" w:color="auto"/>
        <w:right w:val="none" w:sz="0" w:space="0" w:color="auto"/>
      </w:divBdr>
    </w:div>
    <w:div w:id="1106848513">
      <w:bodyDiv w:val="1"/>
      <w:marLeft w:val="0"/>
      <w:marRight w:val="0"/>
      <w:marTop w:val="0"/>
      <w:marBottom w:val="0"/>
      <w:divBdr>
        <w:top w:val="none" w:sz="0" w:space="0" w:color="auto"/>
        <w:left w:val="none" w:sz="0" w:space="0" w:color="auto"/>
        <w:bottom w:val="none" w:sz="0" w:space="0" w:color="auto"/>
        <w:right w:val="none" w:sz="0" w:space="0" w:color="auto"/>
      </w:divBdr>
    </w:div>
    <w:div w:id="173365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uzko.lega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uzko.leg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99DD3-5983-1A4C-937F-A4139528A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4171</Words>
  <Characters>23778</Characters>
  <Application>Microsoft Office Word</Application>
  <DocSecurity>0</DocSecurity>
  <Lines>198</Lines>
  <Paragraphs>55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Term Sheet</vt:lpstr>
      <vt:lpstr>Term Sheet</vt:lpstr>
    </vt:vector>
  </TitlesOfParts>
  <Manager/>
  <Company/>
  <LinksUpToDate>false</LinksUpToDate>
  <CharactersWithSpaces>27894</CharactersWithSpaces>
  <SharedDoc>false</SharedDoc>
  <HyperlinkBase/>
  <HLinks>
    <vt:vector size="276" baseType="variant">
      <vt:variant>
        <vt:i4>1703991</vt:i4>
      </vt:variant>
      <vt:variant>
        <vt:i4>272</vt:i4>
      </vt:variant>
      <vt:variant>
        <vt:i4>0</vt:i4>
      </vt:variant>
      <vt:variant>
        <vt:i4>5</vt:i4>
      </vt:variant>
      <vt:variant>
        <vt:lpwstr/>
      </vt:variant>
      <vt:variant>
        <vt:lpwstr>_Toc443668675</vt:lpwstr>
      </vt:variant>
      <vt:variant>
        <vt:i4>1703991</vt:i4>
      </vt:variant>
      <vt:variant>
        <vt:i4>266</vt:i4>
      </vt:variant>
      <vt:variant>
        <vt:i4>0</vt:i4>
      </vt:variant>
      <vt:variant>
        <vt:i4>5</vt:i4>
      </vt:variant>
      <vt:variant>
        <vt:lpwstr/>
      </vt:variant>
      <vt:variant>
        <vt:lpwstr>_Toc443668674</vt:lpwstr>
      </vt:variant>
      <vt:variant>
        <vt:i4>1703991</vt:i4>
      </vt:variant>
      <vt:variant>
        <vt:i4>260</vt:i4>
      </vt:variant>
      <vt:variant>
        <vt:i4>0</vt:i4>
      </vt:variant>
      <vt:variant>
        <vt:i4>5</vt:i4>
      </vt:variant>
      <vt:variant>
        <vt:lpwstr/>
      </vt:variant>
      <vt:variant>
        <vt:lpwstr>_Toc443668673</vt:lpwstr>
      </vt:variant>
      <vt:variant>
        <vt:i4>1703991</vt:i4>
      </vt:variant>
      <vt:variant>
        <vt:i4>254</vt:i4>
      </vt:variant>
      <vt:variant>
        <vt:i4>0</vt:i4>
      </vt:variant>
      <vt:variant>
        <vt:i4>5</vt:i4>
      </vt:variant>
      <vt:variant>
        <vt:lpwstr/>
      </vt:variant>
      <vt:variant>
        <vt:lpwstr>_Toc443668672</vt:lpwstr>
      </vt:variant>
      <vt:variant>
        <vt:i4>1703991</vt:i4>
      </vt:variant>
      <vt:variant>
        <vt:i4>248</vt:i4>
      </vt:variant>
      <vt:variant>
        <vt:i4>0</vt:i4>
      </vt:variant>
      <vt:variant>
        <vt:i4>5</vt:i4>
      </vt:variant>
      <vt:variant>
        <vt:lpwstr/>
      </vt:variant>
      <vt:variant>
        <vt:lpwstr>_Toc443668671</vt:lpwstr>
      </vt:variant>
      <vt:variant>
        <vt:i4>1703991</vt:i4>
      </vt:variant>
      <vt:variant>
        <vt:i4>242</vt:i4>
      </vt:variant>
      <vt:variant>
        <vt:i4>0</vt:i4>
      </vt:variant>
      <vt:variant>
        <vt:i4>5</vt:i4>
      </vt:variant>
      <vt:variant>
        <vt:lpwstr/>
      </vt:variant>
      <vt:variant>
        <vt:lpwstr>_Toc443668670</vt:lpwstr>
      </vt:variant>
      <vt:variant>
        <vt:i4>1769527</vt:i4>
      </vt:variant>
      <vt:variant>
        <vt:i4>236</vt:i4>
      </vt:variant>
      <vt:variant>
        <vt:i4>0</vt:i4>
      </vt:variant>
      <vt:variant>
        <vt:i4>5</vt:i4>
      </vt:variant>
      <vt:variant>
        <vt:lpwstr/>
      </vt:variant>
      <vt:variant>
        <vt:lpwstr>_Toc443668669</vt:lpwstr>
      </vt:variant>
      <vt:variant>
        <vt:i4>1769527</vt:i4>
      </vt:variant>
      <vt:variant>
        <vt:i4>230</vt:i4>
      </vt:variant>
      <vt:variant>
        <vt:i4>0</vt:i4>
      </vt:variant>
      <vt:variant>
        <vt:i4>5</vt:i4>
      </vt:variant>
      <vt:variant>
        <vt:lpwstr/>
      </vt:variant>
      <vt:variant>
        <vt:lpwstr>_Toc443668668</vt:lpwstr>
      </vt:variant>
      <vt:variant>
        <vt:i4>1769527</vt:i4>
      </vt:variant>
      <vt:variant>
        <vt:i4>224</vt:i4>
      </vt:variant>
      <vt:variant>
        <vt:i4>0</vt:i4>
      </vt:variant>
      <vt:variant>
        <vt:i4>5</vt:i4>
      </vt:variant>
      <vt:variant>
        <vt:lpwstr/>
      </vt:variant>
      <vt:variant>
        <vt:lpwstr>_Toc443668667</vt:lpwstr>
      </vt:variant>
      <vt:variant>
        <vt:i4>1769527</vt:i4>
      </vt:variant>
      <vt:variant>
        <vt:i4>218</vt:i4>
      </vt:variant>
      <vt:variant>
        <vt:i4>0</vt:i4>
      </vt:variant>
      <vt:variant>
        <vt:i4>5</vt:i4>
      </vt:variant>
      <vt:variant>
        <vt:lpwstr/>
      </vt:variant>
      <vt:variant>
        <vt:lpwstr>_Toc443668666</vt:lpwstr>
      </vt:variant>
      <vt:variant>
        <vt:i4>1769527</vt:i4>
      </vt:variant>
      <vt:variant>
        <vt:i4>212</vt:i4>
      </vt:variant>
      <vt:variant>
        <vt:i4>0</vt:i4>
      </vt:variant>
      <vt:variant>
        <vt:i4>5</vt:i4>
      </vt:variant>
      <vt:variant>
        <vt:lpwstr/>
      </vt:variant>
      <vt:variant>
        <vt:lpwstr>_Toc443668665</vt:lpwstr>
      </vt:variant>
      <vt:variant>
        <vt:i4>1769527</vt:i4>
      </vt:variant>
      <vt:variant>
        <vt:i4>206</vt:i4>
      </vt:variant>
      <vt:variant>
        <vt:i4>0</vt:i4>
      </vt:variant>
      <vt:variant>
        <vt:i4>5</vt:i4>
      </vt:variant>
      <vt:variant>
        <vt:lpwstr/>
      </vt:variant>
      <vt:variant>
        <vt:lpwstr>_Toc443668664</vt:lpwstr>
      </vt:variant>
      <vt:variant>
        <vt:i4>1769527</vt:i4>
      </vt:variant>
      <vt:variant>
        <vt:i4>200</vt:i4>
      </vt:variant>
      <vt:variant>
        <vt:i4>0</vt:i4>
      </vt:variant>
      <vt:variant>
        <vt:i4>5</vt:i4>
      </vt:variant>
      <vt:variant>
        <vt:lpwstr/>
      </vt:variant>
      <vt:variant>
        <vt:lpwstr>_Toc443668663</vt:lpwstr>
      </vt:variant>
      <vt:variant>
        <vt:i4>1769527</vt:i4>
      </vt:variant>
      <vt:variant>
        <vt:i4>194</vt:i4>
      </vt:variant>
      <vt:variant>
        <vt:i4>0</vt:i4>
      </vt:variant>
      <vt:variant>
        <vt:i4>5</vt:i4>
      </vt:variant>
      <vt:variant>
        <vt:lpwstr/>
      </vt:variant>
      <vt:variant>
        <vt:lpwstr>_Toc443668662</vt:lpwstr>
      </vt:variant>
      <vt:variant>
        <vt:i4>1769527</vt:i4>
      </vt:variant>
      <vt:variant>
        <vt:i4>188</vt:i4>
      </vt:variant>
      <vt:variant>
        <vt:i4>0</vt:i4>
      </vt:variant>
      <vt:variant>
        <vt:i4>5</vt:i4>
      </vt:variant>
      <vt:variant>
        <vt:lpwstr/>
      </vt:variant>
      <vt:variant>
        <vt:lpwstr>_Toc443668661</vt:lpwstr>
      </vt:variant>
      <vt:variant>
        <vt:i4>1769527</vt:i4>
      </vt:variant>
      <vt:variant>
        <vt:i4>182</vt:i4>
      </vt:variant>
      <vt:variant>
        <vt:i4>0</vt:i4>
      </vt:variant>
      <vt:variant>
        <vt:i4>5</vt:i4>
      </vt:variant>
      <vt:variant>
        <vt:lpwstr/>
      </vt:variant>
      <vt:variant>
        <vt:lpwstr>_Toc443668660</vt:lpwstr>
      </vt:variant>
      <vt:variant>
        <vt:i4>1572919</vt:i4>
      </vt:variant>
      <vt:variant>
        <vt:i4>176</vt:i4>
      </vt:variant>
      <vt:variant>
        <vt:i4>0</vt:i4>
      </vt:variant>
      <vt:variant>
        <vt:i4>5</vt:i4>
      </vt:variant>
      <vt:variant>
        <vt:lpwstr/>
      </vt:variant>
      <vt:variant>
        <vt:lpwstr>_Toc443668659</vt:lpwstr>
      </vt:variant>
      <vt:variant>
        <vt:i4>1572919</vt:i4>
      </vt:variant>
      <vt:variant>
        <vt:i4>170</vt:i4>
      </vt:variant>
      <vt:variant>
        <vt:i4>0</vt:i4>
      </vt:variant>
      <vt:variant>
        <vt:i4>5</vt:i4>
      </vt:variant>
      <vt:variant>
        <vt:lpwstr/>
      </vt:variant>
      <vt:variant>
        <vt:lpwstr>_Toc443668658</vt:lpwstr>
      </vt:variant>
      <vt:variant>
        <vt:i4>1572919</vt:i4>
      </vt:variant>
      <vt:variant>
        <vt:i4>164</vt:i4>
      </vt:variant>
      <vt:variant>
        <vt:i4>0</vt:i4>
      </vt:variant>
      <vt:variant>
        <vt:i4>5</vt:i4>
      </vt:variant>
      <vt:variant>
        <vt:lpwstr/>
      </vt:variant>
      <vt:variant>
        <vt:lpwstr>_Toc443668657</vt:lpwstr>
      </vt:variant>
      <vt:variant>
        <vt:i4>1572919</vt:i4>
      </vt:variant>
      <vt:variant>
        <vt:i4>158</vt:i4>
      </vt:variant>
      <vt:variant>
        <vt:i4>0</vt:i4>
      </vt:variant>
      <vt:variant>
        <vt:i4>5</vt:i4>
      </vt:variant>
      <vt:variant>
        <vt:lpwstr/>
      </vt:variant>
      <vt:variant>
        <vt:lpwstr>_Toc443668656</vt:lpwstr>
      </vt:variant>
      <vt:variant>
        <vt:i4>1572919</vt:i4>
      </vt:variant>
      <vt:variant>
        <vt:i4>152</vt:i4>
      </vt:variant>
      <vt:variant>
        <vt:i4>0</vt:i4>
      </vt:variant>
      <vt:variant>
        <vt:i4>5</vt:i4>
      </vt:variant>
      <vt:variant>
        <vt:lpwstr/>
      </vt:variant>
      <vt:variant>
        <vt:lpwstr>_Toc443668655</vt:lpwstr>
      </vt:variant>
      <vt:variant>
        <vt:i4>1572919</vt:i4>
      </vt:variant>
      <vt:variant>
        <vt:i4>146</vt:i4>
      </vt:variant>
      <vt:variant>
        <vt:i4>0</vt:i4>
      </vt:variant>
      <vt:variant>
        <vt:i4>5</vt:i4>
      </vt:variant>
      <vt:variant>
        <vt:lpwstr/>
      </vt:variant>
      <vt:variant>
        <vt:lpwstr>_Toc443668654</vt:lpwstr>
      </vt:variant>
      <vt:variant>
        <vt:i4>1572919</vt:i4>
      </vt:variant>
      <vt:variant>
        <vt:i4>140</vt:i4>
      </vt:variant>
      <vt:variant>
        <vt:i4>0</vt:i4>
      </vt:variant>
      <vt:variant>
        <vt:i4>5</vt:i4>
      </vt:variant>
      <vt:variant>
        <vt:lpwstr/>
      </vt:variant>
      <vt:variant>
        <vt:lpwstr>_Toc443668653</vt:lpwstr>
      </vt:variant>
      <vt:variant>
        <vt:i4>1572919</vt:i4>
      </vt:variant>
      <vt:variant>
        <vt:i4>134</vt:i4>
      </vt:variant>
      <vt:variant>
        <vt:i4>0</vt:i4>
      </vt:variant>
      <vt:variant>
        <vt:i4>5</vt:i4>
      </vt:variant>
      <vt:variant>
        <vt:lpwstr/>
      </vt:variant>
      <vt:variant>
        <vt:lpwstr>_Toc443668652</vt:lpwstr>
      </vt:variant>
      <vt:variant>
        <vt:i4>1572919</vt:i4>
      </vt:variant>
      <vt:variant>
        <vt:i4>128</vt:i4>
      </vt:variant>
      <vt:variant>
        <vt:i4>0</vt:i4>
      </vt:variant>
      <vt:variant>
        <vt:i4>5</vt:i4>
      </vt:variant>
      <vt:variant>
        <vt:lpwstr/>
      </vt:variant>
      <vt:variant>
        <vt:lpwstr>_Toc443668651</vt:lpwstr>
      </vt:variant>
      <vt:variant>
        <vt:i4>1572919</vt:i4>
      </vt:variant>
      <vt:variant>
        <vt:i4>122</vt:i4>
      </vt:variant>
      <vt:variant>
        <vt:i4>0</vt:i4>
      </vt:variant>
      <vt:variant>
        <vt:i4>5</vt:i4>
      </vt:variant>
      <vt:variant>
        <vt:lpwstr/>
      </vt:variant>
      <vt:variant>
        <vt:lpwstr>_Toc443668650</vt:lpwstr>
      </vt:variant>
      <vt:variant>
        <vt:i4>1638455</vt:i4>
      </vt:variant>
      <vt:variant>
        <vt:i4>116</vt:i4>
      </vt:variant>
      <vt:variant>
        <vt:i4>0</vt:i4>
      </vt:variant>
      <vt:variant>
        <vt:i4>5</vt:i4>
      </vt:variant>
      <vt:variant>
        <vt:lpwstr/>
      </vt:variant>
      <vt:variant>
        <vt:lpwstr>_Toc443668649</vt:lpwstr>
      </vt:variant>
      <vt:variant>
        <vt:i4>1638455</vt:i4>
      </vt:variant>
      <vt:variant>
        <vt:i4>110</vt:i4>
      </vt:variant>
      <vt:variant>
        <vt:i4>0</vt:i4>
      </vt:variant>
      <vt:variant>
        <vt:i4>5</vt:i4>
      </vt:variant>
      <vt:variant>
        <vt:lpwstr/>
      </vt:variant>
      <vt:variant>
        <vt:lpwstr>_Toc443668648</vt:lpwstr>
      </vt:variant>
      <vt:variant>
        <vt:i4>1638455</vt:i4>
      </vt:variant>
      <vt:variant>
        <vt:i4>104</vt:i4>
      </vt:variant>
      <vt:variant>
        <vt:i4>0</vt:i4>
      </vt:variant>
      <vt:variant>
        <vt:i4>5</vt:i4>
      </vt:variant>
      <vt:variant>
        <vt:lpwstr/>
      </vt:variant>
      <vt:variant>
        <vt:lpwstr>_Toc443668647</vt:lpwstr>
      </vt:variant>
      <vt:variant>
        <vt:i4>1638455</vt:i4>
      </vt:variant>
      <vt:variant>
        <vt:i4>98</vt:i4>
      </vt:variant>
      <vt:variant>
        <vt:i4>0</vt:i4>
      </vt:variant>
      <vt:variant>
        <vt:i4>5</vt:i4>
      </vt:variant>
      <vt:variant>
        <vt:lpwstr/>
      </vt:variant>
      <vt:variant>
        <vt:lpwstr>_Toc443668646</vt:lpwstr>
      </vt:variant>
      <vt:variant>
        <vt:i4>1638455</vt:i4>
      </vt:variant>
      <vt:variant>
        <vt:i4>92</vt:i4>
      </vt:variant>
      <vt:variant>
        <vt:i4>0</vt:i4>
      </vt:variant>
      <vt:variant>
        <vt:i4>5</vt:i4>
      </vt:variant>
      <vt:variant>
        <vt:lpwstr/>
      </vt:variant>
      <vt:variant>
        <vt:lpwstr>_Toc443668645</vt:lpwstr>
      </vt:variant>
      <vt:variant>
        <vt:i4>1638455</vt:i4>
      </vt:variant>
      <vt:variant>
        <vt:i4>86</vt:i4>
      </vt:variant>
      <vt:variant>
        <vt:i4>0</vt:i4>
      </vt:variant>
      <vt:variant>
        <vt:i4>5</vt:i4>
      </vt:variant>
      <vt:variant>
        <vt:lpwstr/>
      </vt:variant>
      <vt:variant>
        <vt:lpwstr>_Toc443668644</vt:lpwstr>
      </vt:variant>
      <vt:variant>
        <vt:i4>1638455</vt:i4>
      </vt:variant>
      <vt:variant>
        <vt:i4>80</vt:i4>
      </vt:variant>
      <vt:variant>
        <vt:i4>0</vt:i4>
      </vt:variant>
      <vt:variant>
        <vt:i4>5</vt:i4>
      </vt:variant>
      <vt:variant>
        <vt:lpwstr/>
      </vt:variant>
      <vt:variant>
        <vt:lpwstr>_Toc443668643</vt:lpwstr>
      </vt:variant>
      <vt:variant>
        <vt:i4>1638455</vt:i4>
      </vt:variant>
      <vt:variant>
        <vt:i4>74</vt:i4>
      </vt:variant>
      <vt:variant>
        <vt:i4>0</vt:i4>
      </vt:variant>
      <vt:variant>
        <vt:i4>5</vt:i4>
      </vt:variant>
      <vt:variant>
        <vt:lpwstr/>
      </vt:variant>
      <vt:variant>
        <vt:lpwstr>_Toc443668642</vt:lpwstr>
      </vt:variant>
      <vt:variant>
        <vt:i4>1638455</vt:i4>
      </vt:variant>
      <vt:variant>
        <vt:i4>68</vt:i4>
      </vt:variant>
      <vt:variant>
        <vt:i4>0</vt:i4>
      </vt:variant>
      <vt:variant>
        <vt:i4>5</vt:i4>
      </vt:variant>
      <vt:variant>
        <vt:lpwstr/>
      </vt:variant>
      <vt:variant>
        <vt:lpwstr>_Toc443668641</vt:lpwstr>
      </vt:variant>
      <vt:variant>
        <vt:i4>1638455</vt:i4>
      </vt:variant>
      <vt:variant>
        <vt:i4>62</vt:i4>
      </vt:variant>
      <vt:variant>
        <vt:i4>0</vt:i4>
      </vt:variant>
      <vt:variant>
        <vt:i4>5</vt:i4>
      </vt:variant>
      <vt:variant>
        <vt:lpwstr/>
      </vt:variant>
      <vt:variant>
        <vt:lpwstr>_Toc443668640</vt:lpwstr>
      </vt:variant>
      <vt:variant>
        <vt:i4>1966135</vt:i4>
      </vt:variant>
      <vt:variant>
        <vt:i4>56</vt:i4>
      </vt:variant>
      <vt:variant>
        <vt:i4>0</vt:i4>
      </vt:variant>
      <vt:variant>
        <vt:i4>5</vt:i4>
      </vt:variant>
      <vt:variant>
        <vt:lpwstr/>
      </vt:variant>
      <vt:variant>
        <vt:lpwstr>_Toc443668639</vt:lpwstr>
      </vt:variant>
      <vt:variant>
        <vt:i4>1966135</vt:i4>
      </vt:variant>
      <vt:variant>
        <vt:i4>50</vt:i4>
      </vt:variant>
      <vt:variant>
        <vt:i4>0</vt:i4>
      </vt:variant>
      <vt:variant>
        <vt:i4>5</vt:i4>
      </vt:variant>
      <vt:variant>
        <vt:lpwstr/>
      </vt:variant>
      <vt:variant>
        <vt:lpwstr>_Toc443668638</vt:lpwstr>
      </vt:variant>
      <vt:variant>
        <vt:i4>1966135</vt:i4>
      </vt:variant>
      <vt:variant>
        <vt:i4>44</vt:i4>
      </vt:variant>
      <vt:variant>
        <vt:i4>0</vt:i4>
      </vt:variant>
      <vt:variant>
        <vt:i4>5</vt:i4>
      </vt:variant>
      <vt:variant>
        <vt:lpwstr/>
      </vt:variant>
      <vt:variant>
        <vt:lpwstr>_Toc443668637</vt:lpwstr>
      </vt:variant>
      <vt:variant>
        <vt:i4>1966135</vt:i4>
      </vt:variant>
      <vt:variant>
        <vt:i4>38</vt:i4>
      </vt:variant>
      <vt:variant>
        <vt:i4>0</vt:i4>
      </vt:variant>
      <vt:variant>
        <vt:i4>5</vt:i4>
      </vt:variant>
      <vt:variant>
        <vt:lpwstr/>
      </vt:variant>
      <vt:variant>
        <vt:lpwstr>_Toc443668636</vt:lpwstr>
      </vt:variant>
      <vt:variant>
        <vt:i4>1966135</vt:i4>
      </vt:variant>
      <vt:variant>
        <vt:i4>32</vt:i4>
      </vt:variant>
      <vt:variant>
        <vt:i4>0</vt:i4>
      </vt:variant>
      <vt:variant>
        <vt:i4>5</vt:i4>
      </vt:variant>
      <vt:variant>
        <vt:lpwstr/>
      </vt:variant>
      <vt:variant>
        <vt:lpwstr>_Toc443668635</vt:lpwstr>
      </vt:variant>
      <vt:variant>
        <vt:i4>1966135</vt:i4>
      </vt:variant>
      <vt:variant>
        <vt:i4>26</vt:i4>
      </vt:variant>
      <vt:variant>
        <vt:i4>0</vt:i4>
      </vt:variant>
      <vt:variant>
        <vt:i4>5</vt:i4>
      </vt:variant>
      <vt:variant>
        <vt:lpwstr/>
      </vt:variant>
      <vt:variant>
        <vt:lpwstr>_Toc443668634</vt:lpwstr>
      </vt:variant>
      <vt:variant>
        <vt:i4>1966135</vt:i4>
      </vt:variant>
      <vt:variant>
        <vt:i4>20</vt:i4>
      </vt:variant>
      <vt:variant>
        <vt:i4>0</vt:i4>
      </vt:variant>
      <vt:variant>
        <vt:i4>5</vt:i4>
      </vt:variant>
      <vt:variant>
        <vt:lpwstr/>
      </vt:variant>
      <vt:variant>
        <vt:lpwstr>_Toc443668633</vt:lpwstr>
      </vt:variant>
      <vt:variant>
        <vt:i4>1966135</vt:i4>
      </vt:variant>
      <vt:variant>
        <vt:i4>14</vt:i4>
      </vt:variant>
      <vt:variant>
        <vt:i4>0</vt:i4>
      </vt:variant>
      <vt:variant>
        <vt:i4>5</vt:i4>
      </vt:variant>
      <vt:variant>
        <vt:lpwstr/>
      </vt:variant>
      <vt:variant>
        <vt:lpwstr>_Toc443668632</vt:lpwstr>
      </vt:variant>
      <vt:variant>
        <vt:i4>1966135</vt:i4>
      </vt:variant>
      <vt:variant>
        <vt:i4>8</vt:i4>
      </vt:variant>
      <vt:variant>
        <vt:i4>0</vt:i4>
      </vt:variant>
      <vt:variant>
        <vt:i4>5</vt:i4>
      </vt:variant>
      <vt:variant>
        <vt:lpwstr/>
      </vt:variant>
      <vt:variant>
        <vt:lpwstr>_Toc443668631</vt:lpwstr>
      </vt:variant>
      <vt:variant>
        <vt:i4>1966135</vt:i4>
      </vt:variant>
      <vt:variant>
        <vt:i4>2</vt:i4>
      </vt:variant>
      <vt:variant>
        <vt:i4>0</vt:i4>
      </vt:variant>
      <vt:variant>
        <vt:i4>5</vt:i4>
      </vt:variant>
      <vt:variant>
        <vt:lpwstr/>
      </vt:variant>
      <vt:variant>
        <vt:lpwstr>_Toc443668630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 Sheet</dc:title>
  <dc:subject/>
  <dc:creator/>
  <cp:keywords/>
  <dc:description/>
  <cp:lastModifiedBy/>
  <cp:revision>1</cp:revision>
  <dcterms:created xsi:type="dcterms:W3CDTF">2021-07-18T16:17:00Z</dcterms:created>
  <dcterms:modified xsi:type="dcterms:W3CDTF">2021-07-20T13:44:00Z</dcterms:modified>
  <cp:category/>
</cp:coreProperties>
</file>